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0794" w14:textId="27824E93" w:rsidR="00C93A9D" w:rsidRPr="00BC252A" w:rsidRDefault="001E323B" w:rsidP="00C93A9D">
      <w:pPr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2</w:t>
      </w:r>
      <w:r w:rsidR="007E7843">
        <w:rPr>
          <w:rFonts w:ascii="標楷體" w:eastAsia="標楷體" w:hAnsi="標楷體" w:hint="eastAsia"/>
          <w:b/>
          <w:bCs/>
          <w:sz w:val="28"/>
        </w:rPr>
        <w:t>0</w:t>
      </w:r>
      <w:r w:rsidR="0041361F">
        <w:rPr>
          <w:rFonts w:ascii="標楷體" w:eastAsia="標楷體" w:hAnsi="標楷體" w:hint="eastAsia"/>
          <w:b/>
          <w:bCs/>
          <w:sz w:val="28"/>
        </w:rPr>
        <w:t>2</w:t>
      </w:r>
      <w:r w:rsidR="009D2435">
        <w:rPr>
          <w:rFonts w:ascii="標楷體" w:eastAsia="標楷體" w:hAnsi="標楷體" w:hint="eastAsia"/>
          <w:b/>
          <w:bCs/>
          <w:sz w:val="28"/>
        </w:rPr>
        <w:t>5</w:t>
      </w:r>
      <w:r w:rsidR="0041361F">
        <w:rPr>
          <w:rFonts w:ascii="標楷體" w:eastAsia="標楷體" w:hAnsi="標楷體" w:hint="eastAsia"/>
          <w:b/>
          <w:bCs/>
          <w:sz w:val="28"/>
        </w:rPr>
        <w:t xml:space="preserve">  AFC 裁判學院甄</w:t>
      </w:r>
      <w:r w:rsidR="0041361F" w:rsidRPr="00BC252A">
        <w:rPr>
          <w:rFonts w:ascii="標楷體" w:eastAsia="標楷體" w:hAnsi="標楷體" w:hint="eastAsia"/>
          <w:b/>
          <w:bCs/>
          <w:sz w:val="28"/>
        </w:rPr>
        <w:t>選辦法</w:t>
      </w:r>
    </w:p>
    <w:p w14:paraId="071DA198" w14:textId="77777777" w:rsidR="00C93A9D" w:rsidRDefault="00C93A9D" w:rsidP="00145CB7">
      <w:pPr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/>
        </w:rPr>
      </w:pPr>
      <w:r w:rsidRPr="00BC252A">
        <w:rPr>
          <w:rFonts w:ascii="標楷體" w:eastAsia="標楷體" w:hAnsi="標楷體" w:hint="eastAsia"/>
        </w:rPr>
        <w:t>目的：考選優秀裁判</w:t>
      </w:r>
      <w:r w:rsidR="000663D5">
        <w:rPr>
          <w:rFonts w:ascii="標楷體" w:eastAsia="標楷體" w:hAnsi="標楷體" w:hint="eastAsia"/>
        </w:rPr>
        <w:t>參加AFC裁判學院接受訓練</w:t>
      </w:r>
      <w:r w:rsidRPr="00BC252A">
        <w:rPr>
          <w:rFonts w:ascii="標楷體" w:eastAsia="標楷體" w:hAnsi="標楷體" w:hint="eastAsia"/>
        </w:rPr>
        <w:t>。</w:t>
      </w:r>
    </w:p>
    <w:p w14:paraId="16CCFC1E" w14:textId="77777777" w:rsidR="000663D5" w:rsidRDefault="000663D5" w:rsidP="00145CB7">
      <w:pPr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說明：1.AFC</w:t>
      </w:r>
      <w:r w:rsidR="00D6086D">
        <w:rPr>
          <w:rFonts w:ascii="標楷體" w:eastAsia="標楷體" w:hAnsi="標楷體" w:hint="eastAsia"/>
        </w:rPr>
        <w:t>裁判學</w:t>
      </w:r>
      <w:r>
        <w:rPr>
          <w:rFonts w:ascii="標楷體" w:eastAsia="標楷體" w:hAnsi="標楷體" w:hint="eastAsia"/>
        </w:rPr>
        <w:t>2017年11月在馬來西亞吉隆坡成立。</w:t>
      </w:r>
    </w:p>
    <w:p w14:paraId="50F0D1B4" w14:textId="77777777" w:rsidR="000663D5" w:rsidRDefault="000663D5" w:rsidP="000663D5">
      <w:pPr>
        <w:spacing w:line="340" w:lineRule="exact"/>
        <w:ind w:left="480"/>
        <w:jc w:val="both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hint="eastAsia"/>
        </w:rPr>
        <w:t xml:space="preserve">      </w:t>
      </w:r>
      <w:r w:rsidRPr="006241EA">
        <w:rPr>
          <w:rFonts w:ascii="標楷體" w:eastAsia="標楷體" w:hAnsi="標楷體" w:hint="eastAsia"/>
        </w:rPr>
        <w:t>2.目標：</w:t>
      </w:r>
      <w:r w:rsidR="006241EA" w:rsidRPr="006241EA">
        <w:rPr>
          <w:rFonts w:ascii="標楷體" w:eastAsia="標楷體" w:hAnsi="標楷體" w:cs="Arial" w:hint="eastAsia"/>
          <w:color w:val="222222"/>
        </w:rPr>
        <w:t>•提高</w:t>
      </w:r>
      <w:r w:rsidR="006241EA">
        <w:rPr>
          <w:rFonts w:ascii="標楷體" w:eastAsia="標楷體" w:hAnsi="標楷體" w:cs="Arial" w:hint="eastAsia"/>
          <w:color w:val="222222"/>
        </w:rPr>
        <w:t>亞</w:t>
      </w:r>
      <w:r w:rsidR="006241EA" w:rsidRPr="006241EA">
        <w:rPr>
          <w:rFonts w:ascii="標楷體" w:eastAsia="標楷體" w:hAnsi="標楷體" w:cs="Arial" w:hint="eastAsia"/>
          <w:color w:val="222222"/>
        </w:rPr>
        <w:t>洲大陸的質量</w:t>
      </w:r>
      <w:r w:rsidR="00240D3E">
        <w:rPr>
          <w:rFonts w:ascii="標楷體" w:eastAsia="標楷體" w:hAnsi="標楷體" w:cs="Arial" w:hint="eastAsia"/>
          <w:color w:val="222222"/>
        </w:rPr>
        <w:t>給</w:t>
      </w:r>
      <w:r w:rsidR="006241EA" w:rsidRPr="006241EA">
        <w:rPr>
          <w:rFonts w:ascii="標楷體" w:eastAsia="標楷體" w:hAnsi="標楷體" w:cs="Arial" w:hint="eastAsia"/>
          <w:color w:val="222222"/>
        </w:rPr>
        <w:t>有前途的裁判提供廣泛和不斷學習</w:t>
      </w:r>
      <w:r w:rsidR="00240D3E">
        <w:rPr>
          <w:rFonts w:ascii="標楷體" w:eastAsia="標楷體" w:hAnsi="標楷體" w:cs="Arial" w:hint="eastAsia"/>
          <w:color w:val="222222"/>
        </w:rPr>
        <w:t>機會</w:t>
      </w:r>
      <w:r w:rsidR="005D0F18">
        <w:rPr>
          <w:rFonts w:ascii="標楷體" w:eastAsia="標楷體" w:hAnsi="標楷體" w:cs="Arial" w:hint="eastAsia"/>
          <w:color w:val="222222"/>
        </w:rPr>
        <w:t>。</w:t>
      </w:r>
      <w:r w:rsidR="006241EA" w:rsidRPr="006241EA">
        <w:rPr>
          <w:rFonts w:ascii="標楷體" w:eastAsia="標楷體" w:hAnsi="標楷體" w:cs="Arial" w:hint="eastAsia"/>
          <w:color w:val="222222"/>
        </w:rPr>
        <w:br/>
      </w:r>
      <w:r w:rsidR="005D0F18">
        <w:rPr>
          <w:rFonts w:ascii="標楷體" w:eastAsia="標楷體" w:hAnsi="標楷體" w:cs="Arial" w:hint="eastAsia"/>
          <w:color w:val="222222"/>
        </w:rPr>
        <w:t xml:space="preserve">       </w:t>
      </w:r>
      <w:r w:rsidR="004B11D9">
        <w:rPr>
          <w:rFonts w:ascii="標楷體" w:eastAsia="標楷體" w:hAnsi="標楷體" w:cs="Arial" w:hint="eastAsia"/>
          <w:color w:val="222222"/>
        </w:rPr>
        <w:t xml:space="preserve"> </w:t>
      </w:r>
      <w:r w:rsidR="005D0F18">
        <w:rPr>
          <w:rFonts w:ascii="標楷體" w:eastAsia="標楷體" w:hAnsi="標楷體" w:cs="Arial" w:hint="eastAsia"/>
          <w:color w:val="222222"/>
        </w:rPr>
        <w:t xml:space="preserve">      </w:t>
      </w:r>
      <w:r w:rsidR="006241EA" w:rsidRPr="006241EA">
        <w:rPr>
          <w:rFonts w:ascii="標楷體" w:eastAsia="標楷體" w:hAnsi="標楷體" w:cs="Arial" w:hint="eastAsia"/>
          <w:color w:val="222222"/>
        </w:rPr>
        <w:t>•增加世界級AFC裁判員人數</w:t>
      </w:r>
      <w:r w:rsidR="00240D3E">
        <w:rPr>
          <w:rFonts w:ascii="標楷體" w:eastAsia="標楷體" w:hAnsi="標楷體" w:cs="Arial" w:hint="eastAsia"/>
          <w:color w:val="222222"/>
        </w:rPr>
        <w:t>及</w:t>
      </w:r>
      <w:r w:rsidR="006241EA" w:rsidRPr="006241EA">
        <w:rPr>
          <w:rFonts w:ascii="標楷體" w:eastAsia="標楷體" w:hAnsi="標楷體" w:cs="Arial" w:hint="eastAsia"/>
          <w:color w:val="222222"/>
        </w:rPr>
        <w:t>水平</w:t>
      </w:r>
      <w:r w:rsidR="00240D3E">
        <w:rPr>
          <w:rFonts w:ascii="標楷體" w:eastAsia="標楷體" w:hAnsi="標楷體" w:cs="Arial" w:hint="eastAsia"/>
          <w:color w:val="222222"/>
        </w:rPr>
        <w:t>。</w:t>
      </w:r>
      <w:r w:rsidR="006241EA" w:rsidRPr="006241EA">
        <w:rPr>
          <w:rFonts w:ascii="標楷體" w:eastAsia="標楷體" w:hAnsi="標楷體" w:cs="Arial" w:hint="eastAsia"/>
          <w:color w:val="222222"/>
        </w:rPr>
        <w:br/>
      </w:r>
      <w:r w:rsidR="005D0F18">
        <w:rPr>
          <w:rFonts w:ascii="標楷體" w:eastAsia="標楷體" w:hAnsi="標楷體" w:cs="Arial" w:hint="eastAsia"/>
          <w:color w:val="222222"/>
        </w:rPr>
        <w:t xml:space="preserve">      </w:t>
      </w:r>
      <w:r w:rsidR="004B11D9">
        <w:rPr>
          <w:rFonts w:ascii="標楷體" w:eastAsia="標楷體" w:hAnsi="標楷體" w:cs="Arial" w:hint="eastAsia"/>
          <w:color w:val="222222"/>
        </w:rPr>
        <w:t xml:space="preserve"> </w:t>
      </w:r>
      <w:r w:rsidR="005D0F18">
        <w:rPr>
          <w:rFonts w:ascii="標楷體" w:eastAsia="標楷體" w:hAnsi="標楷體" w:cs="Arial" w:hint="eastAsia"/>
          <w:color w:val="222222"/>
        </w:rPr>
        <w:t xml:space="preserve">       </w:t>
      </w:r>
      <w:r w:rsidR="006241EA" w:rsidRPr="006241EA">
        <w:rPr>
          <w:rFonts w:ascii="標楷體" w:eastAsia="標楷體" w:hAnsi="標楷體" w:cs="Arial" w:hint="eastAsia"/>
          <w:color w:val="222222"/>
        </w:rPr>
        <w:t>•提高AFC會員</w:t>
      </w:r>
      <w:r w:rsidR="00240D3E">
        <w:rPr>
          <w:rFonts w:ascii="標楷體" w:eastAsia="標楷體" w:hAnsi="標楷體" w:cs="Arial" w:hint="eastAsia"/>
          <w:color w:val="222222"/>
        </w:rPr>
        <w:t>國</w:t>
      </w:r>
      <w:r w:rsidR="006241EA" w:rsidRPr="006241EA">
        <w:rPr>
          <w:rFonts w:ascii="標楷體" w:eastAsia="標楷體" w:hAnsi="標楷體" w:cs="Arial" w:hint="eastAsia"/>
          <w:color w:val="222222"/>
        </w:rPr>
        <w:t>的裁判</w:t>
      </w:r>
      <w:r w:rsidR="00240D3E">
        <w:rPr>
          <w:rFonts w:ascii="標楷體" w:eastAsia="標楷體" w:hAnsi="標楷體" w:cs="Arial" w:hint="eastAsia"/>
          <w:color w:val="222222"/>
        </w:rPr>
        <w:t>水</w:t>
      </w:r>
      <w:r w:rsidR="006241EA" w:rsidRPr="006241EA">
        <w:rPr>
          <w:rFonts w:ascii="標楷體" w:eastAsia="標楷體" w:hAnsi="標楷體" w:cs="Arial" w:hint="eastAsia"/>
          <w:color w:val="222222"/>
        </w:rPr>
        <w:t>準</w:t>
      </w:r>
      <w:r w:rsidR="00240D3E">
        <w:rPr>
          <w:rFonts w:ascii="標楷體" w:eastAsia="標楷體" w:hAnsi="標楷體" w:cs="Arial" w:hint="eastAsia"/>
          <w:color w:val="222222"/>
        </w:rPr>
        <w:t>。</w:t>
      </w:r>
    </w:p>
    <w:p w14:paraId="41A9D92E" w14:textId="5A0C6CBB" w:rsidR="00240D3E" w:rsidRDefault="00240D3E" w:rsidP="00240D3E">
      <w:pPr>
        <w:spacing w:line="340" w:lineRule="exact"/>
        <w:jc w:val="both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cs="Arial" w:hint="eastAsia"/>
          <w:color w:val="222222"/>
        </w:rPr>
        <w:t>三、</w:t>
      </w:r>
      <w:r w:rsidRPr="00240D3E">
        <w:rPr>
          <w:rFonts w:ascii="標楷體" w:eastAsia="標楷體" w:hAnsi="標楷體" w:cs="Arial" w:hint="eastAsia"/>
          <w:color w:val="222222"/>
        </w:rPr>
        <w:t>結構與活動</w:t>
      </w:r>
      <w:r w:rsidRPr="00240D3E">
        <w:rPr>
          <w:rFonts w:ascii="標楷體" w:eastAsia="標楷體" w:hAnsi="標楷體" w:cs="Arial" w:hint="eastAsia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</w:t>
      </w:r>
      <w:r w:rsidRPr="00240D3E">
        <w:rPr>
          <w:rFonts w:ascii="標楷體" w:eastAsia="標楷體" w:hAnsi="標楷體" w:cs="Arial" w:hint="eastAsia"/>
          <w:color w:val="222222"/>
        </w:rPr>
        <w:t>•AFC裁判學院課程包括</w:t>
      </w:r>
      <w:r w:rsidR="00FC11A8">
        <w:rPr>
          <w:rFonts w:ascii="標楷體" w:eastAsia="標楷體" w:hAnsi="標楷體" w:cs="Arial" w:hint="eastAsia"/>
          <w:color w:val="222222"/>
        </w:rPr>
        <w:t>三</w:t>
      </w:r>
      <w:r w:rsidRPr="00240D3E">
        <w:rPr>
          <w:rFonts w:ascii="標楷體" w:eastAsia="標楷體" w:hAnsi="標楷體" w:cs="Arial" w:hint="eastAsia"/>
          <w:color w:val="222222"/>
        </w:rPr>
        <w:t>年制課程，分三個層次進行：</w:t>
      </w:r>
      <w:r w:rsidRPr="00240D3E">
        <w:rPr>
          <w:rFonts w:ascii="標楷體" w:eastAsia="標楷體" w:hAnsi="標楷體" w:cs="Arial" w:hint="eastAsia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 </w:t>
      </w:r>
      <w:r w:rsidRPr="00240D3E">
        <w:rPr>
          <w:rFonts w:ascii="標楷體" w:eastAsia="標楷體" w:hAnsi="標楷體" w:cs="Arial" w:hint="eastAsia"/>
          <w:color w:val="222222"/>
        </w:rPr>
        <w:t>1級 - 入門一年</w:t>
      </w:r>
      <w:r w:rsidRPr="00240D3E">
        <w:rPr>
          <w:rFonts w:ascii="標楷體" w:eastAsia="標楷體" w:hAnsi="標楷體" w:cs="Arial" w:hint="eastAsia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 </w:t>
      </w:r>
      <w:r w:rsidRPr="00240D3E">
        <w:rPr>
          <w:rFonts w:ascii="標楷體" w:eastAsia="標楷體" w:hAnsi="標楷體" w:cs="Arial" w:hint="eastAsia"/>
          <w:color w:val="222222"/>
        </w:rPr>
        <w:t>2級 - 中級</w:t>
      </w:r>
      <w:r w:rsidR="00284FAD">
        <w:rPr>
          <w:rFonts w:ascii="標楷體" w:eastAsia="標楷體" w:hAnsi="標楷體" w:cs="Arial" w:hint="eastAsia"/>
          <w:color w:val="222222"/>
        </w:rPr>
        <w:t>一</w:t>
      </w:r>
      <w:r w:rsidRPr="00240D3E">
        <w:rPr>
          <w:rFonts w:ascii="標楷體" w:eastAsia="標楷體" w:hAnsi="標楷體" w:cs="Arial" w:hint="eastAsia"/>
          <w:color w:val="222222"/>
        </w:rPr>
        <w:t>年</w:t>
      </w:r>
      <w:r w:rsidRPr="00240D3E">
        <w:rPr>
          <w:rFonts w:ascii="標楷體" w:eastAsia="標楷體" w:hAnsi="標楷體" w:cs="Arial" w:hint="eastAsia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 </w:t>
      </w:r>
      <w:r w:rsidRPr="00240D3E">
        <w:rPr>
          <w:rFonts w:ascii="標楷體" w:eastAsia="標楷體" w:hAnsi="標楷體" w:cs="Arial" w:hint="eastAsia"/>
          <w:color w:val="222222"/>
        </w:rPr>
        <w:t xml:space="preserve">3級 </w:t>
      </w:r>
      <w:r w:rsidR="00FC11A8">
        <w:rPr>
          <w:rFonts w:ascii="標楷體" w:eastAsia="標楷體" w:hAnsi="標楷體" w:cs="Arial"/>
          <w:color w:val="222222"/>
        </w:rPr>
        <w:t>–</w:t>
      </w:r>
      <w:r w:rsidR="00FC11A8">
        <w:rPr>
          <w:rFonts w:ascii="標楷體" w:eastAsia="標楷體" w:hAnsi="標楷體" w:cs="Arial" w:hint="eastAsia"/>
          <w:color w:val="222222"/>
        </w:rPr>
        <w:t>進階一</w:t>
      </w:r>
      <w:r w:rsidRPr="00240D3E">
        <w:rPr>
          <w:rFonts w:ascii="標楷體" w:eastAsia="標楷體" w:hAnsi="標楷體" w:cs="Arial" w:hint="eastAsia"/>
          <w:color w:val="222222"/>
        </w:rPr>
        <w:t>年</w:t>
      </w:r>
    </w:p>
    <w:p w14:paraId="2BFD9E0B" w14:textId="77777777" w:rsidR="000E7748" w:rsidRDefault="000E7748" w:rsidP="00240D3E">
      <w:pPr>
        <w:spacing w:line="340" w:lineRule="exact"/>
        <w:jc w:val="both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cs="Arial" w:hint="eastAsia"/>
          <w:color w:val="222222"/>
        </w:rPr>
        <w:t>四、課程活動簡介：</w:t>
      </w:r>
    </w:p>
    <w:p w14:paraId="3BA4C7CA" w14:textId="19991181" w:rsidR="000E7748" w:rsidRPr="001B6D49" w:rsidRDefault="000E7748" w:rsidP="00240D3E">
      <w:pPr>
        <w:spacing w:line="340" w:lineRule="exact"/>
        <w:jc w:val="both"/>
        <w:rPr>
          <w:rFonts w:ascii="標楷體" w:eastAsia="標楷體" w:hAnsi="標楷體" w:cs="Arial"/>
          <w:b/>
          <w:bCs/>
          <w:color w:val="222222"/>
        </w:rPr>
      </w:pPr>
      <w:r>
        <w:rPr>
          <w:rFonts w:ascii="標楷體" w:eastAsia="標楷體" w:hAnsi="標楷體" w:cs="Arial" w:hint="eastAsia"/>
          <w:color w:val="222222"/>
        </w:rPr>
        <w:t xml:space="preserve">    </w:t>
      </w:r>
      <w:r w:rsidR="00582696">
        <w:rPr>
          <w:rFonts w:ascii="標楷體" w:eastAsia="標楷體" w:hAnsi="標楷體" w:cs="Arial" w:hint="eastAsia"/>
          <w:color w:val="222222"/>
        </w:rPr>
        <w:t>每1</w:t>
      </w:r>
      <w:r>
        <w:rPr>
          <w:rFonts w:ascii="標楷體" w:eastAsia="標楷體" w:hAnsi="標楷體" w:cs="Arial" w:hint="eastAsia"/>
          <w:color w:val="222222"/>
        </w:rPr>
        <w:t>個週期在AFC總部(每次五天)</w:t>
      </w:r>
    </w:p>
    <w:p w14:paraId="3B916846" w14:textId="71171CC7" w:rsidR="000E7748" w:rsidRDefault="000E7748" w:rsidP="00240D3E">
      <w:pPr>
        <w:spacing w:line="340" w:lineRule="exact"/>
        <w:jc w:val="both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240D3E">
        <w:rPr>
          <w:rFonts w:ascii="標楷體" w:eastAsia="標楷體" w:hAnsi="標楷體" w:cs="Arial" w:hint="eastAsia"/>
          <w:color w:val="222222"/>
        </w:rPr>
        <w:t>•</w:t>
      </w:r>
      <w:r>
        <w:rPr>
          <w:rFonts w:ascii="標楷體" w:eastAsia="標楷體" w:hAnsi="標楷體" w:cs="Arial" w:hint="eastAsia"/>
          <w:color w:val="222222"/>
        </w:rPr>
        <w:t>1級的</w:t>
      </w:r>
      <w:r w:rsidR="00582696">
        <w:rPr>
          <w:rFonts w:ascii="標楷體" w:eastAsia="標楷體" w:hAnsi="標楷體" w:cs="Arial" w:hint="eastAsia"/>
          <w:color w:val="222222"/>
        </w:rPr>
        <w:t>2</w:t>
      </w:r>
      <w:r>
        <w:rPr>
          <w:rFonts w:ascii="標楷體" w:eastAsia="標楷體" w:hAnsi="標楷體" w:cs="Arial" w:hint="eastAsia"/>
          <w:color w:val="222222"/>
        </w:rPr>
        <w:t>個週期</w:t>
      </w:r>
    </w:p>
    <w:p w14:paraId="545A21BE" w14:textId="0F9EDE8C" w:rsidR="000E7748" w:rsidRDefault="000E7748" w:rsidP="000E7748">
      <w:pPr>
        <w:spacing w:line="340" w:lineRule="exact"/>
        <w:jc w:val="both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240D3E">
        <w:rPr>
          <w:rFonts w:ascii="標楷體" w:eastAsia="標楷體" w:hAnsi="標楷體" w:cs="Arial" w:hint="eastAsia"/>
          <w:color w:val="222222"/>
        </w:rPr>
        <w:t>•</w:t>
      </w:r>
      <w:r>
        <w:rPr>
          <w:rFonts w:ascii="標楷體" w:eastAsia="標楷體" w:hAnsi="標楷體" w:cs="Arial" w:hint="eastAsia"/>
          <w:color w:val="222222"/>
        </w:rPr>
        <w:t>2級的</w:t>
      </w:r>
      <w:r w:rsidR="00582696">
        <w:rPr>
          <w:rFonts w:ascii="標楷體" w:eastAsia="標楷體" w:hAnsi="標楷體" w:cs="Arial" w:hint="eastAsia"/>
          <w:color w:val="222222"/>
        </w:rPr>
        <w:t>2</w:t>
      </w:r>
      <w:r>
        <w:rPr>
          <w:rFonts w:ascii="標楷體" w:eastAsia="標楷體" w:hAnsi="標楷體" w:cs="Arial" w:hint="eastAsia"/>
          <w:color w:val="222222"/>
        </w:rPr>
        <w:t>個週期</w:t>
      </w:r>
    </w:p>
    <w:p w14:paraId="20CD4779" w14:textId="25B819D2" w:rsidR="000E7748" w:rsidRDefault="000E7748" w:rsidP="00240D3E">
      <w:pPr>
        <w:spacing w:line="340" w:lineRule="exact"/>
        <w:jc w:val="both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240D3E">
        <w:rPr>
          <w:rFonts w:ascii="標楷體" w:eastAsia="標楷體" w:hAnsi="標楷體" w:cs="Arial" w:hint="eastAsia"/>
          <w:color w:val="222222"/>
        </w:rPr>
        <w:t>•</w:t>
      </w:r>
      <w:r>
        <w:rPr>
          <w:rFonts w:ascii="標楷體" w:eastAsia="標楷體" w:hAnsi="標楷體" w:cs="Arial" w:hint="eastAsia"/>
          <w:color w:val="222222"/>
        </w:rPr>
        <w:t>3級的</w:t>
      </w:r>
      <w:r w:rsidR="00582696">
        <w:rPr>
          <w:rFonts w:ascii="標楷體" w:eastAsia="標楷體" w:hAnsi="標楷體" w:cs="Arial" w:hint="eastAsia"/>
          <w:color w:val="222222"/>
        </w:rPr>
        <w:t>2</w:t>
      </w:r>
      <w:r>
        <w:rPr>
          <w:rFonts w:ascii="標楷體" w:eastAsia="標楷體" w:hAnsi="標楷體" w:cs="Arial" w:hint="eastAsia"/>
          <w:color w:val="222222"/>
        </w:rPr>
        <w:t>個週期</w:t>
      </w:r>
    </w:p>
    <w:p w14:paraId="64971D1A" w14:textId="787CF232" w:rsidR="00582696" w:rsidRDefault="00582696" w:rsidP="00240D3E">
      <w:pPr>
        <w:spacing w:line="340" w:lineRule="exact"/>
        <w:jc w:val="both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cs="Arial" w:hint="eastAsia"/>
          <w:color w:val="222222"/>
        </w:rPr>
        <w:t xml:space="preserve">    線上課程</w:t>
      </w:r>
    </w:p>
    <w:p w14:paraId="11CA276D" w14:textId="39744FD8" w:rsidR="00582696" w:rsidRDefault="00582696" w:rsidP="00582696">
      <w:pPr>
        <w:spacing w:line="340" w:lineRule="exact"/>
        <w:jc w:val="both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240D3E">
        <w:rPr>
          <w:rFonts w:ascii="標楷體" w:eastAsia="標楷體" w:hAnsi="標楷體" w:cs="Arial" w:hint="eastAsia"/>
          <w:color w:val="222222"/>
        </w:rPr>
        <w:t>•</w:t>
      </w:r>
      <w:r>
        <w:rPr>
          <w:rFonts w:ascii="標楷體" w:eastAsia="標楷體" w:hAnsi="標楷體" w:cs="Arial" w:hint="eastAsia"/>
          <w:color w:val="222222"/>
        </w:rPr>
        <w:t>1級的</w:t>
      </w:r>
      <w:r w:rsidR="00FD7C8D">
        <w:rPr>
          <w:rFonts w:ascii="標楷體" w:eastAsia="標楷體" w:hAnsi="標楷體" w:cs="Arial" w:hint="eastAsia"/>
          <w:color w:val="222222"/>
        </w:rPr>
        <w:t>每年</w:t>
      </w:r>
      <w:r>
        <w:rPr>
          <w:rFonts w:ascii="標楷體" w:eastAsia="標楷體" w:hAnsi="標楷體" w:cs="Arial" w:hint="eastAsia"/>
          <w:color w:val="222222"/>
        </w:rPr>
        <w:t>2次線上課程</w:t>
      </w:r>
    </w:p>
    <w:p w14:paraId="13573427" w14:textId="19B7E730" w:rsidR="00582696" w:rsidRPr="00582696" w:rsidRDefault="00582696" w:rsidP="00582696">
      <w:pPr>
        <w:spacing w:line="340" w:lineRule="exact"/>
        <w:jc w:val="both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240D3E">
        <w:rPr>
          <w:rFonts w:ascii="標楷體" w:eastAsia="標楷體" w:hAnsi="標楷體" w:cs="Arial" w:hint="eastAsia"/>
          <w:color w:val="222222"/>
        </w:rPr>
        <w:t>•</w:t>
      </w:r>
      <w:r>
        <w:rPr>
          <w:rFonts w:ascii="標楷體" w:eastAsia="標楷體" w:hAnsi="標楷體" w:cs="Arial" w:hint="eastAsia"/>
          <w:color w:val="222222"/>
        </w:rPr>
        <w:t>2級的</w:t>
      </w:r>
      <w:r w:rsidR="00FD7C8D">
        <w:rPr>
          <w:rFonts w:ascii="標楷體" w:eastAsia="標楷體" w:hAnsi="標楷體" w:cs="Arial" w:hint="eastAsia"/>
          <w:color w:val="222222"/>
        </w:rPr>
        <w:t>每年</w:t>
      </w:r>
      <w:r>
        <w:rPr>
          <w:rFonts w:ascii="標楷體" w:eastAsia="標楷體" w:hAnsi="標楷體" w:cs="Arial" w:hint="eastAsia"/>
          <w:color w:val="222222"/>
        </w:rPr>
        <w:t>2次線上課程</w:t>
      </w:r>
    </w:p>
    <w:p w14:paraId="64B0FC8C" w14:textId="5D98150B" w:rsidR="00582696" w:rsidRPr="000E614F" w:rsidRDefault="00582696" w:rsidP="00240D3E">
      <w:pPr>
        <w:spacing w:line="340" w:lineRule="exact"/>
        <w:jc w:val="both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240D3E">
        <w:rPr>
          <w:rFonts w:ascii="標楷體" w:eastAsia="標楷體" w:hAnsi="標楷體" w:cs="Arial" w:hint="eastAsia"/>
          <w:color w:val="222222"/>
        </w:rPr>
        <w:t>•</w:t>
      </w:r>
      <w:r>
        <w:rPr>
          <w:rFonts w:ascii="標楷體" w:eastAsia="標楷體" w:hAnsi="標楷體" w:cs="Arial" w:hint="eastAsia"/>
          <w:color w:val="222222"/>
        </w:rPr>
        <w:t>3級的</w:t>
      </w:r>
      <w:r w:rsidR="00FD7C8D">
        <w:rPr>
          <w:rFonts w:ascii="標楷體" w:eastAsia="標楷體" w:hAnsi="標楷體" w:cs="Arial" w:hint="eastAsia"/>
          <w:color w:val="222222"/>
        </w:rPr>
        <w:t>每年</w:t>
      </w:r>
      <w:r>
        <w:rPr>
          <w:rFonts w:ascii="標楷體" w:eastAsia="標楷體" w:hAnsi="標楷體" w:cs="Arial" w:hint="eastAsia"/>
          <w:color w:val="222222"/>
        </w:rPr>
        <w:t>2次線上課程</w:t>
      </w:r>
    </w:p>
    <w:p w14:paraId="7E3BB170" w14:textId="77777777" w:rsidR="000E7748" w:rsidRPr="00D721CC" w:rsidRDefault="00D721CC" w:rsidP="00240D3E">
      <w:pPr>
        <w:spacing w:line="340" w:lineRule="exact"/>
        <w:jc w:val="both"/>
        <w:rPr>
          <w:rFonts w:ascii="標楷體" w:eastAsia="標楷體" w:hAnsi="標楷體" w:cs="Arial"/>
          <w:color w:val="222222"/>
        </w:rPr>
      </w:pPr>
      <w:r w:rsidRPr="00D721CC">
        <w:rPr>
          <w:rFonts w:ascii="標楷體" w:eastAsia="標楷體" w:hAnsi="標楷體" w:cs="Arial" w:hint="eastAsia"/>
          <w:color w:val="222222"/>
        </w:rPr>
        <w:t>五、通過標準</w:t>
      </w:r>
    </w:p>
    <w:p w14:paraId="531316A3" w14:textId="77777777" w:rsidR="0056197E" w:rsidRPr="001B6D49" w:rsidRDefault="00D721CC" w:rsidP="0056197E">
      <w:pPr>
        <w:snapToGrid w:val="0"/>
        <w:spacing w:line="320" w:lineRule="exact"/>
        <w:rPr>
          <w:rFonts w:ascii="標楷體" w:eastAsia="標楷體" w:cs="標楷體"/>
          <w:b/>
          <w:bCs/>
          <w:color w:val="FF0000"/>
          <w:kern w:val="0"/>
          <w:sz w:val="23"/>
          <w:szCs w:val="23"/>
        </w:rPr>
      </w:pPr>
      <w:r>
        <w:rPr>
          <w:rFonts w:ascii="Arial" w:hAnsi="Arial" w:cs="Arial" w:hint="eastAsia"/>
          <w:color w:val="222222"/>
        </w:rPr>
        <w:t xml:space="preserve">    </w:t>
      </w:r>
      <w:r w:rsidRPr="00D721CC">
        <w:rPr>
          <w:rFonts w:ascii="標楷體" w:eastAsia="標楷體" w:hAnsi="標楷體" w:cs="Arial" w:hint="eastAsia"/>
          <w:color w:val="222222"/>
        </w:rPr>
        <w:t>•出勤</w:t>
      </w:r>
      <w:r w:rsidR="00643041">
        <w:rPr>
          <w:rFonts w:ascii="標楷體" w:eastAsia="標楷體" w:hAnsi="標楷體" w:cs="Arial" w:hint="eastAsia"/>
          <w:color w:val="222222"/>
        </w:rPr>
        <w:t>：</w:t>
      </w:r>
      <w:r w:rsidRPr="00D721CC">
        <w:rPr>
          <w:rFonts w:ascii="標楷體" w:eastAsia="標楷體" w:hAnsi="標楷體" w:cs="Arial" w:hint="eastAsia"/>
          <w:color w:val="222222"/>
        </w:rPr>
        <w:t>需要最低出勤率為75％</w:t>
      </w:r>
      <w:r w:rsidRPr="00D721CC">
        <w:rPr>
          <w:rFonts w:ascii="標楷體" w:eastAsia="標楷體" w:hAnsi="標楷體" w:cs="Arial" w:hint="eastAsia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D721CC">
        <w:rPr>
          <w:rFonts w:ascii="標楷體" w:eastAsia="標楷體" w:hAnsi="標楷體" w:cs="Arial" w:hint="eastAsia"/>
          <w:color w:val="222222"/>
        </w:rPr>
        <w:t>•</w:t>
      </w:r>
      <w:r w:rsidRPr="001B6D49">
        <w:rPr>
          <w:rFonts w:ascii="標楷體" w:eastAsia="標楷體" w:hAnsi="標楷體" w:cs="Arial" w:hint="eastAsia"/>
          <w:b/>
          <w:bCs/>
          <w:color w:val="FF0000"/>
        </w:rPr>
        <w:t>英語：</w:t>
      </w:r>
      <w:r w:rsidR="0056197E" w:rsidRPr="001B6D49">
        <w:rPr>
          <w:rFonts w:ascii="標楷體" w:eastAsia="標楷體" w:cs="標楷體"/>
          <w:b/>
          <w:bCs/>
          <w:color w:val="FF0000"/>
          <w:kern w:val="0"/>
          <w:sz w:val="23"/>
          <w:szCs w:val="23"/>
        </w:rPr>
        <w:t>參與者必須具備基本口語水平和書面</w:t>
      </w:r>
      <w:r w:rsidR="0056197E" w:rsidRPr="001B6D49">
        <w:rPr>
          <w:rFonts w:ascii="標楷體" w:eastAsia="標楷體" w:cs="標楷體" w:hint="eastAsia"/>
          <w:b/>
          <w:bCs/>
          <w:color w:val="FF0000"/>
          <w:kern w:val="0"/>
          <w:sz w:val="23"/>
          <w:szCs w:val="23"/>
        </w:rPr>
        <w:t>能力並</w:t>
      </w:r>
      <w:r w:rsidR="0056197E" w:rsidRPr="001B6D49">
        <w:rPr>
          <w:rFonts w:ascii="標楷體" w:eastAsia="標楷體" w:cs="標楷體"/>
          <w:b/>
          <w:bCs/>
          <w:color w:val="FF0000"/>
          <w:kern w:val="0"/>
          <w:sz w:val="23"/>
          <w:szCs w:val="23"/>
        </w:rPr>
        <w:t>提交任何官方英語語言證書（例</w:t>
      </w:r>
    </w:p>
    <w:p w14:paraId="1E585C49" w14:textId="77777777" w:rsidR="00D721CC" w:rsidRPr="0056197E" w:rsidRDefault="0056197E" w:rsidP="0056197E">
      <w:pPr>
        <w:snapToGrid w:val="0"/>
        <w:spacing w:line="32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1B6D49">
        <w:rPr>
          <w:rFonts w:ascii="標楷體" w:eastAsia="標楷體" w:cs="標楷體" w:hint="eastAsia"/>
          <w:b/>
          <w:bCs/>
          <w:color w:val="FF0000"/>
          <w:kern w:val="0"/>
          <w:sz w:val="23"/>
          <w:szCs w:val="23"/>
        </w:rPr>
        <w:t xml:space="preserve">             </w:t>
      </w:r>
      <w:r w:rsidRPr="001B6D49">
        <w:rPr>
          <w:rFonts w:ascii="標楷體" w:eastAsia="標楷體" w:cs="標楷體"/>
          <w:b/>
          <w:bCs/>
          <w:color w:val="FF0000"/>
          <w:kern w:val="0"/>
          <w:sz w:val="23"/>
          <w:szCs w:val="23"/>
        </w:rPr>
        <w:t>如IELTS, TOEFL等）</w:t>
      </w:r>
      <w:r w:rsidR="00D721CC" w:rsidRPr="001B6D49">
        <w:rPr>
          <w:rFonts w:ascii="標楷體" w:eastAsia="標楷體" w:hAnsi="標楷體" w:cs="Arial" w:hint="eastAsia"/>
          <w:color w:val="FF0000"/>
        </w:rPr>
        <w:br/>
      </w:r>
      <w:r w:rsidR="00D721CC">
        <w:rPr>
          <w:rFonts w:ascii="標楷體" w:eastAsia="標楷體" w:hAnsi="標楷體" w:cs="Arial" w:hint="eastAsia"/>
          <w:color w:val="222222"/>
        </w:rPr>
        <w:t xml:space="preserve">    </w:t>
      </w:r>
      <w:r w:rsidR="00D721CC" w:rsidRPr="00D721CC">
        <w:rPr>
          <w:rFonts w:ascii="標楷體" w:eastAsia="標楷體" w:hAnsi="標楷體" w:cs="Arial" w:hint="eastAsia"/>
          <w:color w:val="222222"/>
        </w:rPr>
        <w:t>•知識領域</w:t>
      </w:r>
      <w:r w:rsidR="00D721CC">
        <w:rPr>
          <w:rFonts w:ascii="標楷體" w:eastAsia="標楷體" w:hAnsi="標楷體" w:cs="Arial" w:hint="eastAsia"/>
          <w:color w:val="222222"/>
        </w:rPr>
        <w:t>：</w:t>
      </w:r>
      <w:r w:rsidR="00D721CC" w:rsidRPr="00D721CC">
        <w:rPr>
          <w:rFonts w:ascii="標楷體" w:eastAsia="標楷體" w:hAnsi="標楷體" w:cs="Arial" w:hint="eastAsia"/>
          <w:color w:val="222222"/>
        </w:rPr>
        <w:t>要求最低分75</w:t>
      </w:r>
    </w:p>
    <w:p w14:paraId="3ED913AB" w14:textId="77777777" w:rsidR="000E7748" w:rsidRDefault="00D721CC" w:rsidP="00240D3E">
      <w:pPr>
        <w:spacing w:line="340" w:lineRule="exact"/>
        <w:jc w:val="both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cs="Arial" w:hint="eastAsia"/>
          <w:color w:val="222222"/>
        </w:rPr>
        <w:t>六、</w:t>
      </w:r>
      <w:r w:rsidRPr="00D721CC">
        <w:rPr>
          <w:rFonts w:ascii="標楷體" w:eastAsia="標楷體" w:hAnsi="標楷體" w:cs="Arial" w:hint="eastAsia"/>
          <w:color w:val="222222"/>
        </w:rPr>
        <w:t>一般要求</w:t>
      </w:r>
      <w:r>
        <w:rPr>
          <w:rFonts w:ascii="Arial" w:hAnsi="Arial" w:cs="Arial" w:hint="eastAsia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D721CC">
        <w:rPr>
          <w:rFonts w:ascii="標楷體" w:eastAsia="標楷體" w:hAnsi="標楷體" w:cs="Arial" w:hint="eastAsia"/>
          <w:color w:val="222222"/>
        </w:rPr>
        <w:t>•AFC裁判學院最多可以開放每個會員協會兩個參與者。</w:t>
      </w:r>
      <w:r w:rsidRPr="00D721CC">
        <w:rPr>
          <w:rFonts w:ascii="標楷體" w:eastAsia="標楷體" w:hAnsi="標楷體" w:cs="Arial" w:hint="eastAsia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D721CC">
        <w:rPr>
          <w:rFonts w:ascii="標楷體" w:eastAsia="標楷體" w:hAnsi="標楷體" w:cs="Arial" w:hint="eastAsia"/>
          <w:color w:val="222222"/>
        </w:rPr>
        <w:t>•在這個階段，這個程序只對男</w:t>
      </w:r>
      <w:r>
        <w:rPr>
          <w:rFonts w:ascii="標楷體" w:eastAsia="標楷體" w:hAnsi="標楷體" w:cs="Arial" w:hint="eastAsia"/>
          <w:color w:val="222222"/>
        </w:rPr>
        <w:t>生</w:t>
      </w:r>
      <w:r w:rsidRPr="00D721CC">
        <w:rPr>
          <w:rFonts w:ascii="標楷體" w:eastAsia="標楷體" w:hAnsi="標楷體" w:cs="Arial" w:hint="eastAsia"/>
          <w:color w:val="222222"/>
        </w:rPr>
        <w:t>和或女</w:t>
      </w:r>
      <w:r>
        <w:rPr>
          <w:rFonts w:ascii="標楷體" w:eastAsia="標楷體" w:hAnsi="標楷體" w:cs="Arial" w:hint="eastAsia"/>
          <w:color w:val="222222"/>
        </w:rPr>
        <w:t>生</w:t>
      </w:r>
      <w:r w:rsidRPr="00D721CC">
        <w:rPr>
          <w:rFonts w:ascii="標楷體" w:eastAsia="標楷體" w:hAnsi="標楷體" w:cs="Arial" w:hint="eastAsia"/>
          <w:color w:val="222222"/>
        </w:rPr>
        <w:t>足球裁判（不是助理裁判）。</w:t>
      </w:r>
      <w:r w:rsidRPr="00D721CC">
        <w:rPr>
          <w:rFonts w:ascii="標楷體" w:eastAsia="標楷體" w:hAnsi="標楷體" w:cs="Arial" w:hint="eastAsia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D721CC">
        <w:rPr>
          <w:rFonts w:ascii="標楷體" w:eastAsia="標楷體" w:hAnsi="標楷體" w:cs="Arial" w:hint="eastAsia"/>
          <w:color w:val="222222"/>
        </w:rPr>
        <w:t>•</w:t>
      </w:r>
      <w:r w:rsidRPr="007E7843">
        <w:rPr>
          <w:rFonts w:ascii="標楷體" w:eastAsia="標楷體" w:hAnsi="標楷體" w:cs="Arial" w:hint="eastAsia"/>
          <w:b/>
          <w:color w:val="222222"/>
        </w:rPr>
        <w:t>參加者必須已經是會員協會的最高級別的競賽比賽裁判，但尚未在國際裁判名單上。</w:t>
      </w:r>
      <w:r w:rsidRPr="00D721CC">
        <w:rPr>
          <w:rFonts w:ascii="標楷體" w:eastAsia="標楷體" w:hAnsi="標楷體" w:cs="Arial" w:hint="eastAsia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D721CC">
        <w:rPr>
          <w:rFonts w:ascii="標楷體" w:eastAsia="標楷體" w:hAnsi="標楷體" w:cs="Arial" w:hint="eastAsia"/>
          <w:color w:val="222222"/>
        </w:rPr>
        <w:t>•參與者必須</w:t>
      </w:r>
      <w:r>
        <w:rPr>
          <w:rFonts w:ascii="標楷體" w:eastAsia="標楷體" w:hAnsi="標楷體" w:cs="Arial" w:hint="eastAsia"/>
          <w:color w:val="222222"/>
        </w:rPr>
        <w:t>在</w:t>
      </w:r>
      <w:r w:rsidRPr="00D721CC">
        <w:rPr>
          <w:rFonts w:ascii="標楷體" w:eastAsia="標楷體" w:hAnsi="標楷體" w:cs="Arial" w:hint="eastAsia"/>
          <w:color w:val="222222"/>
        </w:rPr>
        <w:t>未來三年有潛力提名為國際裁判名單</w:t>
      </w:r>
      <w:r>
        <w:rPr>
          <w:rFonts w:ascii="標楷體" w:eastAsia="標楷體" w:hAnsi="標楷體" w:cs="Arial" w:hint="eastAsia"/>
          <w:color w:val="222222"/>
        </w:rPr>
        <w:t>。</w:t>
      </w:r>
    </w:p>
    <w:p w14:paraId="28D454F9" w14:textId="3B25A262" w:rsidR="00D721CC" w:rsidRPr="00D721CC" w:rsidRDefault="00D721CC" w:rsidP="00240D3E">
      <w:pPr>
        <w:spacing w:line="340" w:lineRule="exact"/>
        <w:jc w:val="both"/>
        <w:rPr>
          <w:rFonts w:ascii="標楷體" w:eastAsia="標楷體" w:hAnsi="標楷體" w:cs="Arial"/>
          <w:color w:val="222222"/>
        </w:rPr>
      </w:pPr>
      <w:r w:rsidRPr="00D721CC">
        <w:rPr>
          <w:rFonts w:ascii="標楷體" w:eastAsia="標楷體" w:hAnsi="標楷體" w:cs="Arial" w:hint="eastAsia"/>
          <w:color w:val="222222"/>
        </w:rPr>
        <w:t>七、</w:t>
      </w:r>
      <w:r w:rsidRPr="00D721CC">
        <w:rPr>
          <w:rStyle w:val="shorttext"/>
          <w:rFonts w:ascii="標楷體" w:eastAsia="標楷體" w:hAnsi="標楷體" w:cs="Arial" w:hint="eastAsia"/>
          <w:color w:val="222222"/>
        </w:rPr>
        <w:t>年齡限制</w:t>
      </w:r>
      <w:r w:rsidRPr="00D721CC">
        <w:rPr>
          <w:rFonts w:ascii="標楷體" w:eastAsia="標楷體" w:hAnsi="標楷體" w:cs="Arial" w:hint="eastAsia"/>
          <w:color w:val="222222"/>
        </w:rPr>
        <w:br/>
      </w:r>
      <w:r>
        <w:rPr>
          <w:rStyle w:val="shorttext"/>
          <w:rFonts w:ascii="標楷體" w:eastAsia="標楷體" w:hAnsi="標楷體" w:cs="Arial" w:hint="eastAsia"/>
          <w:color w:val="222222"/>
        </w:rPr>
        <w:t xml:space="preserve">    </w:t>
      </w:r>
      <w:r w:rsidRPr="00FC11A8">
        <w:rPr>
          <w:rFonts w:ascii="標楷體" w:eastAsia="標楷體" w:hAnsi="標楷體" w:cs="Arial" w:hint="eastAsia"/>
          <w:color w:val="FF0000"/>
        </w:rPr>
        <w:t>•</w:t>
      </w:r>
      <w:r w:rsidRPr="00FC11A8">
        <w:rPr>
          <w:rStyle w:val="shorttext"/>
          <w:rFonts w:ascii="標楷體" w:eastAsia="標楷體" w:hAnsi="標楷體" w:cs="Arial" w:hint="eastAsia"/>
          <w:b/>
          <w:color w:val="FF0000"/>
        </w:rPr>
        <w:t>參加者必須至少年滿2</w:t>
      </w:r>
      <w:r w:rsidR="00FC11A8" w:rsidRPr="00FC11A8">
        <w:rPr>
          <w:rStyle w:val="shorttext"/>
          <w:rFonts w:ascii="標楷體" w:eastAsia="標楷體" w:hAnsi="標楷體" w:cs="Arial" w:hint="eastAsia"/>
          <w:b/>
          <w:color w:val="FF0000"/>
        </w:rPr>
        <w:t>5</w:t>
      </w:r>
      <w:r w:rsidRPr="00FC11A8">
        <w:rPr>
          <w:rStyle w:val="shorttext"/>
          <w:rFonts w:ascii="標楷體" w:eastAsia="標楷體" w:hAnsi="標楷體" w:cs="Arial" w:hint="eastAsia"/>
          <w:b/>
          <w:color w:val="FF0000"/>
        </w:rPr>
        <w:t>歲</w:t>
      </w:r>
      <w:r w:rsidR="00473392" w:rsidRPr="00FC11A8">
        <w:rPr>
          <w:rStyle w:val="shorttext"/>
          <w:rFonts w:ascii="標楷體" w:eastAsia="標楷體" w:hAnsi="標楷體" w:cs="Arial" w:hint="eastAsia"/>
          <w:b/>
          <w:color w:val="FF0000"/>
        </w:rPr>
        <w:t>(</w:t>
      </w:r>
      <w:r w:rsidRPr="00FC11A8">
        <w:rPr>
          <w:rStyle w:val="shorttext"/>
          <w:rFonts w:ascii="標楷體" w:eastAsia="標楷體" w:hAnsi="標楷體" w:cs="Arial" w:hint="eastAsia"/>
          <w:b/>
          <w:color w:val="FF0000"/>
        </w:rPr>
        <w:t>提名年份1月1日</w:t>
      </w:r>
      <w:r w:rsidR="00473392" w:rsidRPr="00FC11A8">
        <w:rPr>
          <w:rStyle w:val="shorttext"/>
          <w:rFonts w:ascii="標楷體" w:eastAsia="標楷體" w:hAnsi="標楷體" w:cs="Arial" w:hint="eastAsia"/>
          <w:b/>
          <w:color w:val="FF0000"/>
        </w:rPr>
        <w:t>)</w:t>
      </w:r>
      <w:r w:rsidRPr="00FC11A8">
        <w:rPr>
          <w:rStyle w:val="shorttext"/>
          <w:rFonts w:ascii="標楷體" w:eastAsia="標楷體" w:hAnsi="標楷體" w:cs="Arial" w:hint="eastAsia"/>
          <w:b/>
          <w:color w:val="FF0000"/>
        </w:rPr>
        <w:t>，但</w:t>
      </w:r>
      <w:r w:rsidR="00473392" w:rsidRPr="00FC11A8">
        <w:rPr>
          <w:rStyle w:val="shorttext"/>
          <w:rFonts w:ascii="標楷體" w:eastAsia="標楷體" w:hAnsi="標楷體" w:cs="Arial" w:hint="eastAsia"/>
          <w:b/>
          <w:color w:val="FF0000"/>
        </w:rPr>
        <w:t>不超過</w:t>
      </w:r>
      <w:r w:rsidR="00FC11A8" w:rsidRPr="00FC11A8">
        <w:rPr>
          <w:rStyle w:val="shorttext"/>
          <w:rFonts w:ascii="標楷體" w:eastAsia="標楷體" w:hAnsi="標楷體" w:cs="Arial" w:hint="eastAsia"/>
          <w:b/>
          <w:color w:val="FF0000"/>
        </w:rPr>
        <w:t>33</w:t>
      </w:r>
      <w:r w:rsidRPr="00FC11A8">
        <w:rPr>
          <w:rStyle w:val="shorttext"/>
          <w:rFonts w:ascii="標楷體" w:eastAsia="標楷體" w:hAnsi="標楷體" w:cs="Arial" w:hint="eastAsia"/>
          <w:b/>
          <w:color w:val="FF0000"/>
        </w:rPr>
        <w:t>歲</w:t>
      </w:r>
      <w:r w:rsidR="00473392" w:rsidRPr="00FC11A8">
        <w:rPr>
          <w:rStyle w:val="shorttext"/>
          <w:rFonts w:ascii="標楷體" w:eastAsia="標楷體" w:hAnsi="標楷體" w:cs="Arial" w:hint="eastAsia"/>
          <w:b/>
          <w:color w:val="FF0000"/>
        </w:rPr>
        <w:t>(提名年份1月1日)。</w:t>
      </w:r>
      <w:r w:rsidRPr="00D721CC">
        <w:rPr>
          <w:rFonts w:ascii="標楷體" w:eastAsia="標楷體" w:hAnsi="標楷體" w:cs="Arial" w:hint="eastAsia"/>
          <w:color w:val="222222"/>
        </w:rPr>
        <w:br/>
      </w:r>
      <w:r w:rsidR="0042621A">
        <w:rPr>
          <w:rFonts w:ascii="標楷體" w:eastAsia="標楷體" w:hAnsi="標楷體" w:cs="Arial" w:hint="eastAsia"/>
          <w:color w:val="222222"/>
        </w:rPr>
        <w:t>八、參加</w:t>
      </w:r>
      <w:r w:rsidR="00473392" w:rsidRPr="00473392">
        <w:rPr>
          <w:rFonts w:ascii="標楷體" w:eastAsia="標楷體" w:hAnsi="標楷體" w:cs="Arial" w:hint="eastAsia"/>
          <w:color w:val="222222"/>
        </w:rPr>
        <w:t>者必須通過以下</w:t>
      </w:r>
      <w:r w:rsidR="00473392">
        <w:rPr>
          <w:rFonts w:ascii="標楷體" w:eastAsia="標楷體" w:hAnsi="標楷體" w:cs="Arial" w:hint="eastAsia"/>
          <w:color w:val="222222"/>
        </w:rPr>
        <w:t>體能測驗</w:t>
      </w:r>
      <w:r w:rsidR="00473392" w:rsidRPr="00473392">
        <w:rPr>
          <w:rFonts w:ascii="標楷體" w:eastAsia="標楷體" w:hAnsi="標楷體" w:cs="Arial" w:hint="eastAsia"/>
          <w:color w:val="222222"/>
        </w:rPr>
        <w:br/>
      </w:r>
      <w:r w:rsidR="00473392">
        <w:rPr>
          <w:rFonts w:ascii="標楷體" w:eastAsia="標楷體" w:hAnsi="標楷體" w:cs="Arial" w:hint="eastAsia"/>
          <w:color w:val="222222"/>
        </w:rPr>
        <w:t xml:space="preserve">    </w:t>
      </w:r>
      <w:r w:rsidR="00473392" w:rsidRPr="00473392">
        <w:rPr>
          <w:rFonts w:ascii="標楷體" w:eastAsia="標楷體" w:hAnsi="標楷體" w:cs="Arial" w:hint="eastAsia"/>
          <w:color w:val="222222"/>
        </w:rPr>
        <w:t>在提名前三個月內進行測試：</w:t>
      </w:r>
      <w:r w:rsidR="00473392" w:rsidRPr="00473392">
        <w:rPr>
          <w:rFonts w:ascii="標楷體" w:eastAsia="標楷體" w:hAnsi="標楷體" w:cs="Arial" w:hint="eastAsia"/>
          <w:color w:val="222222"/>
        </w:rPr>
        <w:br/>
      </w:r>
      <w:r w:rsidR="00473392">
        <w:rPr>
          <w:rFonts w:ascii="標楷體" w:eastAsia="標楷體" w:hAnsi="標楷體" w:cs="Arial" w:hint="eastAsia"/>
          <w:color w:val="222222"/>
        </w:rPr>
        <w:t xml:space="preserve">   </w:t>
      </w:r>
      <w:r w:rsidR="00473392" w:rsidRPr="00473392">
        <w:rPr>
          <w:rFonts w:ascii="標楷體" w:eastAsia="標楷體" w:hAnsi="標楷體" w:cs="Arial" w:hint="eastAsia"/>
          <w:color w:val="222222"/>
        </w:rPr>
        <w:t>•FIFA</w:t>
      </w:r>
      <w:r w:rsidR="00473392">
        <w:rPr>
          <w:rFonts w:ascii="標楷體" w:eastAsia="標楷體" w:hAnsi="標楷體" w:cs="Arial" w:hint="eastAsia"/>
          <w:color w:val="222222"/>
        </w:rPr>
        <w:t>體能測驗</w:t>
      </w:r>
      <w:r w:rsidR="00473392" w:rsidRPr="00473392">
        <w:rPr>
          <w:rFonts w:ascii="標楷體" w:eastAsia="標楷體" w:hAnsi="標楷體" w:cs="Arial" w:hint="eastAsia"/>
          <w:color w:val="222222"/>
        </w:rPr>
        <w:t>（1</w:t>
      </w:r>
      <w:r w:rsidR="00473392">
        <w:rPr>
          <w:rFonts w:ascii="標楷體" w:eastAsia="標楷體" w:hAnsi="標楷體" w:cs="Arial" w:hint="eastAsia"/>
          <w:color w:val="222222"/>
        </w:rPr>
        <w:t>級</w:t>
      </w:r>
      <w:r w:rsidR="00473392" w:rsidRPr="00473392">
        <w:rPr>
          <w:rFonts w:ascii="標楷體" w:eastAsia="標楷體" w:hAnsi="標楷體" w:cs="Arial" w:hint="eastAsia"/>
          <w:color w:val="222222"/>
        </w:rPr>
        <w:t>裁判）;</w:t>
      </w:r>
      <w:r w:rsidR="00473392" w:rsidRPr="00473392">
        <w:rPr>
          <w:rFonts w:ascii="標楷體" w:eastAsia="標楷體" w:hAnsi="標楷體" w:cs="Arial" w:hint="eastAsia"/>
          <w:color w:val="222222"/>
        </w:rPr>
        <w:br/>
      </w:r>
      <w:r w:rsidR="00473392">
        <w:rPr>
          <w:rFonts w:ascii="標楷體" w:eastAsia="標楷體" w:hAnsi="標楷體" w:cs="Arial" w:hint="eastAsia"/>
          <w:color w:val="222222"/>
        </w:rPr>
        <w:t xml:space="preserve">   </w:t>
      </w:r>
      <w:r w:rsidR="00473392" w:rsidRPr="00473392">
        <w:rPr>
          <w:rFonts w:ascii="標楷體" w:eastAsia="標楷體" w:hAnsi="標楷體" w:cs="Arial" w:hint="eastAsia"/>
          <w:color w:val="222222"/>
        </w:rPr>
        <w:t>•Yo-Yo間歇測試1級（男子17.4，女性16.</w:t>
      </w:r>
      <w:r w:rsidR="00FC11A8">
        <w:rPr>
          <w:rFonts w:ascii="標楷體" w:eastAsia="標楷體" w:hAnsi="標楷體" w:cs="Arial" w:hint="eastAsia"/>
          <w:color w:val="222222"/>
        </w:rPr>
        <w:t>4</w:t>
      </w:r>
      <w:r w:rsidR="00473392" w:rsidRPr="00473392">
        <w:rPr>
          <w:rFonts w:ascii="標楷體" w:eastAsia="標楷體" w:hAnsi="標楷體" w:cs="Arial" w:hint="eastAsia"/>
          <w:color w:val="222222"/>
        </w:rPr>
        <w:t>）。</w:t>
      </w:r>
    </w:p>
    <w:p w14:paraId="74CCA3BA" w14:textId="77777777" w:rsidR="00473392" w:rsidRDefault="00473392" w:rsidP="00240D3E">
      <w:pPr>
        <w:spacing w:line="340" w:lineRule="exact"/>
        <w:jc w:val="both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cs="Arial" w:hint="eastAsia"/>
          <w:color w:val="222222"/>
        </w:rPr>
        <w:t>九、</w:t>
      </w:r>
      <w:r w:rsidRPr="00473392">
        <w:rPr>
          <w:rFonts w:ascii="標楷體" w:eastAsia="標楷體" w:hAnsi="標楷體" w:cs="Arial" w:hint="eastAsia"/>
          <w:color w:val="222222"/>
        </w:rPr>
        <w:t>費用</w:t>
      </w:r>
      <w:r w:rsidRPr="00473392">
        <w:rPr>
          <w:rFonts w:ascii="標楷體" w:eastAsia="標楷體" w:hAnsi="標楷體" w:cs="Arial" w:hint="eastAsia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</w:t>
      </w:r>
      <w:r w:rsidRPr="00473392">
        <w:rPr>
          <w:rFonts w:ascii="標楷體" w:eastAsia="標楷體" w:hAnsi="標楷體" w:cs="Arial" w:hint="eastAsia"/>
          <w:color w:val="222222"/>
        </w:rPr>
        <w:t>•</w:t>
      </w:r>
      <w:r>
        <w:rPr>
          <w:rFonts w:ascii="標楷體" w:eastAsia="標楷體" w:hAnsi="標楷體" w:cs="Arial" w:hint="eastAsia"/>
          <w:color w:val="222222"/>
        </w:rPr>
        <w:t>國家協會將負擔往返機票費用。</w:t>
      </w:r>
    </w:p>
    <w:p w14:paraId="69B21D84" w14:textId="60AF7A9E" w:rsidR="00C93A9D" w:rsidRPr="00445389" w:rsidRDefault="00473392" w:rsidP="00445389">
      <w:pPr>
        <w:spacing w:line="340" w:lineRule="exact"/>
        <w:jc w:val="both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cs="Arial" w:hint="eastAsia"/>
          <w:color w:val="222222"/>
        </w:rPr>
        <w:t xml:space="preserve">   </w:t>
      </w:r>
      <w:r w:rsidRPr="00473392">
        <w:rPr>
          <w:rFonts w:ascii="標楷體" w:eastAsia="標楷體" w:hAnsi="標楷體" w:cs="Arial" w:hint="eastAsia"/>
          <w:color w:val="222222"/>
        </w:rPr>
        <w:t>•AFC應承擔與此相關的所有其他費用</w:t>
      </w:r>
      <w:r>
        <w:rPr>
          <w:rFonts w:ascii="標楷體" w:eastAsia="標楷體" w:hAnsi="標楷體" w:cs="Arial" w:hint="eastAsia"/>
          <w:color w:val="222222"/>
        </w:rPr>
        <w:t>含</w:t>
      </w:r>
      <w:r w:rsidRPr="00473392">
        <w:rPr>
          <w:rFonts w:ascii="標楷體" w:eastAsia="標楷體" w:hAnsi="標楷體" w:cs="Arial" w:hint="eastAsia"/>
          <w:color w:val="222222"/>
        </w:rPr>
        <w:t>住宿，當地交通等</w:t>
      </w:r>
      <w:r w:rsidRPr="00473392">
        <w:rPr>
          <w:rFonts w:ascii="標楷體" w:eastAsia="標楷體" w:hAnsi="標楷體" w:cs="Arial" w:hint="eastAsia"/>
          <w:color w:val="222222"/>
        </w:rPr>
        <w:br/>
      </w:r>
      <w:r w:rsidR="00643041">
        <w:rPr>
          <w:rFonts w:ascii="標楷體" w:eastAsia="標楷體" w:hAnsi="標楷體" w:hint="eastAsia"/>
        </w:rPr>
        <w:t>十、</w:t>
      </w:r>
      <w:r w:rsidR="00C93A9D" w:rsidRPr="00BC252A">
        <w:rPr>
          <w:rFonts w:ascii="標楷體" w:eastAsia="標楷體" w:hAnsi="標楷體" w:hint="eastAsia"/>
        </w:rPr>
        <w:t>報名日期：</w:t>
      </w:r>
      <w:r w:rsidR="00652512">
        <w:rPr>
          <w:rFonts w:ascii="標楷體" w:eastAsia="標楷體" w:hAnsi="標楷體" w:hint="eastAsia"/>
        </w:rPr>
        <w:t>即日起至</w:t>
      </w:r>
      <w:r w:rsidR="0056197E">
        <w:rPr>
          <w:rFonts w:ascii="標楷體" w:eastAsia="標楷體" w:hAnsi="標楷體" w:hint="eastAsia"/>
        </w:rPr>
        <w:t>11</w:t>
      </w:r>
      <w:r w:rsidR="00FC11A8">
        <w:rPr>
          <w:rFonts w:ascii="標楷體" w:eastAsia="標楷體" w:hAnsi="標楷體" w:hint="eastAsia"/>
        </w:rPr>
        <w:t>3</w:t>
      </w:r>
      <w:r w:rsidR="0056197E">
        <w:rPr>
          <w:rFonts w:ascii="標楷體" w:eastAsia="標楷體" w:hAnsi="標楷體" w:hint="eastAsia"/>
        </w:rPr>
        <w:t>年</w:t>
      </w:r>
      <w:r w:rsidR="00FC11A8">
        <w:rPr>
          <w:rFonts w:ascii="標楷體" w:eastAsia="標楷體" w:hAnsi="標楷體" w:hint="eastAsia"/>
        </w:rPr>
        <w:t>9</w:t>
      </w:r>
      <w:r w:rsidR="0056197E">
        <w:rPr>
          <w:rFonts w:ascii="標楷體" w:eastAsia="標楷體" w:hAnsi="標楷體" w:hint="eastAsia"/>
        </w:rPr>
        <w:t>月</w:t>
      </w:r>
      <w:r w:rsidR="001034B7">
        <w:rPr>
          <w:rFonts w:ascii="標楷體" w:eastAsia="標楷體" w:hAnsi="標楷體" w:hint="eastAsia"/>
        </w:rPr>
        <w:t>4</w:t>
      </w:r>
      <w:r w:rsidR="0056197E">
        <w:rPr>
          <w:rFonts w:ascii="標楷體" w:eastAsia="標楷體" w:hAnsi="標楷體" w:hint="eastAsia"/>
        </w:rPr>
        <w:t>日止</w:t>
      </w:r>
    </w:p>
    <w:p w14:paraId="71233009" w14:textId="77777777" w:rsidR="00C93A9D" w:rsidRPr="00BC252A" w:rsidRDefault="00445389" w:rsidP="00445389">
      <w:pPr>
        <w:spacing w:line="3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C93A9D" w:rsidRPr="00BC252A">
        <w:rPr>
          <w:rFonts w:ascii="標楷體" w:eastAsia="標楷體" w:hAnsi="標楷體" w:hint="eastAsia"/>
        </w:rPr>
        <w:t>報名手續：</w:t>
      </w:r>
    </w:p>
    <w:p w14:paraId="2CBEF99C" w14:textId="65EC95AB" w:rsidR="00E36AAF" w:rsidRPr="001B6D49" w:rsidRDefault="00E36AAF" w:rsidP="00FC11A8">
      <w:pPr>
        <w:spacing w:line="340" w:lineRule="exact"/>
        <w:ind w:leftChars="50" w:left="120" w:firstLineChars="150" w:firstLine="360"/>
        <w:rPr>
          <w:rFonts w:ascii="標楷體" w:eastAsia="標楷體"/>
        </w:rPr>
      </w:pPr>
      <w:r>
        <w:rPr>
          <w:rFonts w:ascii="標楷體" w:eastAsia="標楷體" w:hint="eastAsia"/>
        </w:rPr>
        <w:t>報名表電子檔請至中華民國足球協會網站ctfa.com.tw下載，</w:t>
      </w:r>
      <w:r w:rsidRPr="00BC252A">
        <w:rPr>
          <w:rFonts w:ascii="標楷體" w:eastAsia="標楷體" w:hAnsi="標楷體" w:hint="eastAsia"/>
        </w:rPr>
        <w:t>符合報名資格者</w:t>
      </w:r>
      <w:r>
        <w:rPr>
          <w:rFonts w:ascii="標楷體" w:eastAsia="標楷體" w:hAnsi="標楷體" w:hint="eastAsia"/>
        </w:rPr>
        <w:t>將</w:t>
      </w:r>
      <w:r>
        <w:rPr>
          <w:rFonts w:ascii="標楷體" w:eastAsia="標楷體" w:hint="eastAsia"/>
        </w:rPr>
        <w:t>報名表</w:t>
      </w:r>
      <w:hyperlink r:id="rId7" w:history="1">
        <w:r w:rsidR="00FC11A8" w:rsidRPr="007E24BF">
          <w:rPr>
            <w:rStyle w:val="a6"/>
            <w:rFonts w:ascii="標楷體" w:eastAsia="標楷體" w:hint="eastAsia"/>
          </w:rPr>
          <w:t>e-mail至ctfa.referee@gmail.com</w:t>
        </w:r>
      </w:hyperlink>
      <w:r w:rsidR="001B6D49">
        <w:rPr>
          <w:rFonts w:ascii="標楷體" w:eastAsia="標楷體" w:hint="eastAsia"/>
        </w:rPr>
        <w:t>請利用網路報名，電話:02-25961185#224，請電話</w:t>
      </w:r>
      <w:r w:rsidR="001B6D49">
        <w:rPr>
          <w:rFonts w:ascii="標楷體" w:eastAsia="標楷體" w:hint="eastAsia"/>
        </w:rPr>
        <w:lastRenderedPageBreak/>
        <w:t>確認報名無誤</w:t>
      </w:r>
      <w:r w:rsidR="001B6D49" w:rsidRPr="00BC252A">
        <w:rPr>
          <w:rFonts w:ascii="標楷體" w:eastAsia="標楷體" w:hAnsi="標楷體" w:hint="eastAsia"/>
        </w:rPr>
        <w:t>。</w:t>
      </w:r>
    </w:p>
    <w:p w14:paraId="357A97D6" w14:textId="77777777" w:rsidR="0016579A" w:rsidRPr="00BC252A" w:rsidRDefault="0016579A" w:rsidP="0016579A">
      <w:pPr>
        <w:spacing w:line="3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BC252A">
        <w:rPr>
          <w:rFonts w:ascii="標楷體" w:eastAsia="標楷體" w:hAnsi="標楷體" w:hint="eastAsia"/>
        </w:rPr>
        <w:t>資格審查及呈報</w:t>
      </w:r>
    </w:p>
    <w:p w14:paraId="3B1FAF21" w14:textId="7F630273" w:rsidR="0016579A" w:rsidRPr="00BC252A" w:rsidRDefault="0016579A" w:rsidP="0016579A">
      <w:pPr>
        <w:spacing w:line="340" w:lineRule="exact"/>
        <w:ind w:left="426" w:firstLineChars="58" w:firstLine="1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BC252A">
        <w:rPr>
          <w:rFonts w:ascii="標楷體" w:eastAsia="標楷體" w:hAnsi="標楷體" w:hint="eastAsia"/>
        </w:rPr>
        <w:t>初審─裁判組</w:t>
      </w:r>
      <w:r>
        <w:rPr>
          <w:rFonts w:ascii="標楷體" w:eastAsia="標楷體" w:hAnsi="標楷體" w:hint="eastAsia"/>
        </w:rPr>
        <w:t>，符合</w:t>
      </w:r>
      <w:r w:rsidR="007E7843">
        <w:rPr>
          <w:rFonts w:ascii="標楷體" w:eastAsia="標楷體" w:hAnsi="標楷體" w:hint="eastAsia"/>
        </w:rPr>
        <w:t>參加甄選</w:t>
      </w:r>
      <w:r>
        <w:rPr>
          <w:rFonts w:ascii="標楷體" w:eastAsia="標楷體" w:hAnsi="標楷體" w:hint="eastAsia"/>
        </w:rPr>
        <w:t>資格</w:t>
      </w:r>
      <w:r w:rsidR="007E7843">
        <w:rPr>
          <w:rFonts w:ascii="標楷體" w:eastAsia="標楷體" w:hAnsi="標楷體" w:hint="eastAsia"/>
        </w:rPr>
        <w:t>名單</w:t>
      </w:r>
      <w:r w:rsidR="0087390C">
        <w:rPr>
          <w:rFonts w:ascii="標楷體" w:eastAsia="標楷體" w:hAnsi="標楷體" w:hint="eastAsia"/>
        </w:rPr>
        <w:t>將於</w:t>
      </w:r>
      <w:r w:rsidR="00E44C50">
        <w:rPr>
          <w:rFonts w:ascii="標楷體" w:eastAsia="標楷體" w:hAnsi="標楷體" w:hint="eastAsia"/>
        </w:rPr>
        <w:t>9</w:t>
      </w:r>
      <w:r w:rsidR="0087390C">
        <w:rPr>
          <w:rFonts w:ascii="標楷體" w:eastAsia="標楷體" w:hAnsi="標楷體" w:hint="eastAsia"/>
        </w:rPr>
        <w:t>月</w:t>
      </w:r>
      <w:r w:rsidR="00E44C50">
        <w:rPr>
          <w:rFonts w:ascii="標楷體" w:eastAsia="標楷體" w:hAnsi="標楷體" w:hint="eastAsia"/>
        </w:rPr>
        <w:t>4</w:t>
      </w:r>
      <w:r w:rsidR="001B6D49">
        <w:rPr>
          <w:rFonts w:ascii="標楷體" w:eastAsia="標楷體" w:hAnsi="標楷體" w:hint="eastAsia"/>
        </w:rPr>
        <w:t>日公告在足協網站。</w:t>
      </w:r>
    </w:p>
    <w:p w14:paraId="498E5C48" w14:textId="77777777" w:rsidR="0016579A" w:rsidRDefault="0016579A" w:rsidP="0016579A">
      <w:pPr>
        <w:spacing w:line="34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</w:t>
      </w:r>
      <w:r w:rsidRPr="00BC252A">
        <w:rPr>
          <w:rFonts w:ascii="標楷體" w:eastAsia="標楷體" w:hAnsi="標楷體" w:hint="eastAsia"/>
        </w:rPr>
        <w:t>決審─評選小組</w:t>
      </w:r>
      <w:r w:rsidR="0042621A">
        <w:rPr>
          <w:rFonts w:ascii="標楷體" w:eastAsia="標楷體" w:hAnsi="標楷體" w:hint="eastAsia"/>
        </w:rPr>
        <w:t>(本會裁判委員會)</w:t>
      </w:r>
      <w:r w:rsidRPr="00BC252A">
        <w:rPr>
          <w:rFonts w:ascii="標楷體" w:eastAsia="標楷體" w:hAnsi="標楷體" w:hint="eastAsia"/>
        </w:rPr>
        <w:t>。</w:t>
      </w:r>
    </w:p>
    <w:p w14:paraId="75770115" w14:textId="77777777" w:rsidR="0016579A" w:rsidRPr="00BC252A" w:rsidRDefault="0016579A" w:rsidP="0016579A">
      <w:pPr>
        <w:spacing w:line="34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</w:t>
      </w:r>
      <w:r w:rsidRPr="00BC252A">
        <w:rPr>
          <w:rFonts w:ascii="標楷體" w:eastAsia="標楷體" w:hAnsi="標楷體" w:hint="eastAsia"/>
        </w:rPr>
        <w:t>核定─由秘書處簽請理事長核定。</w:t>
      </w:r>
    </w:p>
    <w:p w14:paraId="7171750B" w14:textId="77777777" w:rsidR="00C93A9D" w:rsidRPr="00BC252A" w:rsidRDefault="00445389" w:rsidP="00445389">
      <w:pPr>
        <w:spacing w:line="3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2856D0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A615A0">
        <w:rPr>
          <w:rFonts w:ascii="標楷體" w:eastAsia="標楷體" w:hAnsi="標楷體" w:hint="eastAsia"/>
        </w:rPr>
        <w:t>評選</w:t>
      </w:r>
      <w:r w:rsidR="00C93A9D" w:rsidRPr="00BC252A">
        <w:rPr>
          <w:rFonts w:ascii="標楷體" w:eastAsia="標楷體" w:hAnsi="標楷體" w:hint="eastAsia"/>
        </w:rPr>
        <w:t>標準：</w:t>
      </w:r>
    </w:p>
    <w:p w14:paraId="28A40EEC" w14:textId="77777777" w:rsidR="004B7F61" w:rsidRDefault="00C93A9D" w:rsidP="004B7F61">
      <w:pPr>
        <w:spacing w:line="34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﹙一﹚</w:t>
      </w:r>
      <w:r w:rsidR="002856D0">
        <w:rPr>
          <w:rFonts w:ascii="標楷體" w:eastAsia="標楷體" w:hAnsi="標楷體" w:hint="eastAsia"/>
        </w:rPr>
        <w:t>裁委會將參考最近一年協會辦理體能測驗相關考試成績。</w:t>
      </w:r>
    </w:p>
    <w:p w14:paraId="38DD4B2D" w14:textId="77777777" w:rsidR="0005697F" w:rsidRDefault="00F15248" w:rsidP="004B7F61">
      <w:pPr>
        <w:spacing w:line="34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 </w:t>
      </w:r>
      <w:r w:rsidR="0005697F">
        <w:rPr>
          <w:rFonts w:ascii="標楷體" w:eastAsia="標楷體" w:hAnsi="標楷體" w:hint="eastAsia"/>
        </w:rPr>
        <w:t>英文能力。</w:t>
      </w:r>
    </w:p>
    <w:p w14:paraId="1C99D637" w14:textId="210B3409" w:rsidR="00F15248" w:rsidRDefault="0005697F" w:rsidP="004B7F61">
      <w:pPr>
        <w:spacing w:line="34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 </w:t>
      </w:r>
      <w:r w:rsidR="00D541EC">
        <w:rPr>
          <w:rFonts w:ascii="標楷體" w:eastAsia="標楷體" w:hAnsi="標楷體" w:hint="eastAsia"/>
        </w:rPr>
        <w:t>擔任本會一級聯賽裁判及</w:t>
      </w:r>
      <w:r w:rsidR="00F15248">
        <w:rPr>
          <w:rFonts w:ascii="標楷體" w:eastAsia="標楷體" w:hAnsi="標楷體" w:hint="eastAsia"/>
        </w:rPr>
        <w:t>積極配合協助本會男女各項賽事裁判工作者。</w:t>
      </w:r>
    </w:p>
    <w:p w14:paraId="54BBBFCA" w14:textId="77777777" w:rsidR="00C93A9D" w:rsidRPr="00BC252A" w:rsidRDefault="00445389" w:rsidP="00445389">
      <w:pPr>
        <w:spacing w:line="3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十四、錄取</w:t>
      </w:r>
    </w:p>
    <w:p w14:paraId="41B990FC" w14:textId="77777777" w:rsidR="00C93A9D" w:rsidRPr="00BC252A" w:rsidRDefault="00445389" w:rsidP="00145CB7">
      <w:pPr>
        <w:numPr>
          <w:ilvl w:val="1"/>
          <w:numId w:val="1"/>
        </w:numPr>
        <w:spacing w:line="3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男女生</w:t>
      </w:r>
      <w:r w:rsidR="00C35029">
        <w:rPr>
          <w:rFonts w:ascii="標楷體" w:eastAsia="標楷體" w:hAnsi="標楷體" w:hint="eastAsia"/>
        </w:rPr>
        <w:t>擇優，至多</w:t>
      </w:r>
      <w:r w:rsidR="0016579A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 w:hint="eastAsia"/>
        </w:rPr>
        <w:t>二名</w:t>
      </w:r>
      <w:r w:rsidR="00C93A9D" w:rsidRPr="00BC252A">
        <w:rPr>
          <w:rFonts w:ascii="標楷體" w:eastAsia="標楷體" w:hAnsi="標楷體" w:hint="eastAsia"/>
        </w:rPr>
        <w:t>。</w:t>
      </w:r>
    </w:p>
    <w:p w14:paraId="06FBDCE8" w14:textId="77777777" w:rsidR="00C93A9D" w:rsidRDefault="00445389" w:rsidP="00445389">
      <w:pPr>
        <w:spacing w:line="3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</w:t>
      </w:r>
      <w:r w:rsidR="00C93A9D" w:rsidRPr="00BC252A">
        <w:rPr>
          <w:rFonts w:ascii="標楷體" w:eastAsia="標楷體" w:hAnsi="標楷體" w:hint="eastAsia"/>
        </w:rPr>
        <w:t>本會辦法經理事長核定後公佈實施</w:t>
      </w:r>
    </w:p>
    <w:p w14:paraId="07565D18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173E06A9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419249ED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242ADC58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1B53EE3E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7DE784EE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35E39872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775C1C29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23B14D6D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63F4243D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281F299A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4E8BD2EF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6527FA6E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49BF4579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49D901EE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252BF289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22043AE7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17546E30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1D13D8BE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1D6EB86F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3BA631C6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71D03C4A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5CA5C809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5EF7E380" w14:textId="77777777" w:rsidR="00E878F0" w:rsidRDefault="00E878F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59B4ADE2" w14:textId="77777777" w:rsidR="002856D0" w:rsidRPr="00F050A6" w:rsidRDefault="002856D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037FA374" w14:textId="77777777" w:rsidR="002856D0" w:rsidRDefault="002856D0" w:rsidP="00C93A9D">
      <w:pPr>
        <w:spacing w:line="420" w:lineRule="exact"/>
        <w:jc w:val="both"/>
        <w:rPr>
          <w:rFonts w:ascii="標楷體" w:eastAsia="標楷體" w:hAnsi="標楷體"/>
          <w:b/>
          <w:bCs/>
        </w:rPr>
      </w:pPr>
    </w:p>
    <w:p w14:paraId="52AE3F47" w14:textId="77777777" w:rsidR="00C93A9D" w:rsidRPr="00BC252A" w:rsidRDefault="00C93A9D" w:rsidP="00C93A9D">
      <w:pPr>
        <w:spacing w:line="420" w:lineRule="exact"/>
        <w:jc w:val="both"/>
        <w:rPr>
          <w:rFonts w:ascii="標楷體" w:eastAsia="標楷體" w:hAnsi="標楷體"/>
        </w:rPr>
      </w:pPr>
      <w:r w:rsidRPr="00BC252A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01BE7218" w14:textId="77777777" w:rsidR="00C93A9D" w:rsidRPr="00BC252A" w:rsidRDefault="00C93A9D" w:rsidP="00C93A9D">
      <w:pPr>
        <w:jc w:val="center"/>
        <w:rPr>
          <w:rFonts w:ascii="標楷體" w:eastAsia="標楷體" w:hAnsi="標楷體"/>
          <w:sz w:val="28"/>
        </w:rPr>
      </w:pPr>
      <w:r w:rsidRPr="00BC252A">
        <w:rPr>
          <w:rFonts w:ascii="標楷體" w:eastAsia="標楷體" w:hAnsi="標楷體" w:hint="eastAsia"/>
          <w:sz w:val="28"/>
        </w:rPr>
        <w:t>中華名國足球協會考選</w:t>
      </w:r>
      <w:r w:rsidR="00E878F0">
        <w:rPr>
          <w:rFonts w:ascii="標楷體" w:eastAsia="標楷體" w:hAnsi="標楷體" w:hint="eastAsia"/>
          <w:sz w:val="28"/>
        </w:rPr>
        <w:t>AFC</w:t>
      </w:r>
      <w:r w:rsidRPr="00BC252A">
        <w:rPr>
          <w:rFonts w:ascii="標楷體" w:eastAsia="標楷體" w:hAnsi="標楷體" w:hint="eastAsia"/>
          <w:sz w:val="28"/>
        </w:rPr>
        <w:t>裁判</w:t>
      </w:r>
      <w:r w:rsidR="00E878F0">
        <w:rPr>
          <w:rFonts w:ascii="標楷體" w:eastAsia="標楷體" w:hAnsi="標楷體" w:hint="eastAsia"/>
          <w:sz w:val="28"/>
        </w:rPr>
        <w:t>學院</w:t>
      </w:r>
      <w:r w:rsidRPr="00BC252A">
        <w:rPr>
          <w:rFonts w:ascii="標楷體" w:eastAsia="標楷體" w:hAnsi="標楷體" w:hint="eastAsia"/>
          <w:sz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5585"/>
        <w:gridCol w:w="2154"/>
      </w:tblGrid>
      <w:tr w:rsidR="00C93A9D" w:rsidRPr="00BC252A" w14:paraId="46B8B039" w14:textId="77777777">
        <w:tc>
          <w:tcPr>
            <w:tcW w:w="7367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</w:tcPr>
          <w:p w14:paraId="022BBA65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中文姓名：               英文姓名：</w:t>
            </w:r>
          </w:p>
        </w:tc>
        <w:tc>
          <w:tcPr>
            <w:tcW w:w="2173" w:type="dxa"/>
            <w:vMerge w:val="restart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629A6698" w14:textId="77777777" w:rsidR="00C93A9D" w:rsidRPr="00BC252A" w:rsidRDefault="00C93A9D" w:rsidP="00C93A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相片浮貼處</w:t>
            </w:r>
          </w:p>
          <w:p w14:paraId="585EC502" w14:textId="77777777" w:rsidR="00C93A9D" w:rsidRPr="00BC252A" w:rsidRDefault="00C93A9D" w:rsidP="00C93A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彩色二吋三張</w:t>
            </w:r>
          </w:p>
        </w:tc>
      </w:tr>
      <w:tr w:rsidR="00C93A9D" w:rsidRPr="00BC252A" w14:paraId="5C7E658F" w14:textId="77777777">
        <w:tc>
          <w:tcPr>
            <w:tcW w:w="7367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</w:tcPr>
          <w:p w14:paraId="364D5406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出生日期：               身分證字號：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14:paraId="4F9D3170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93A9D" w:rsidRPr="00BC252A" w14:paraId="75663644" w14:textId="77777777">
        <w:tc>
          <w:tcPr>
            <w:tcW w:w="7367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</w:tcPr>
          <w:p w14:paraId="780B10E9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服務單位暨職稱：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14:paraId="5B94C569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93A9D" w:rsidRPr="00BC252A" w14:paraId="022A87B5" w14:textId="77777777">
        <w:tc>
          <w:tcPr>
            <w:tcW w:w="7367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</w:tcPr>
          <w:p w14:paraId="6D3CC8D5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通訊地址：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14:paraId="4FF19694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93A9D" w:rsidRPr="00BC252A" w14:paraId="33337784" w14:textId="77777777">
        <w:tc>
          <w:tcPr>
            <w:tcW w:w="9540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4A4D95C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最高學歷：</w:t>
            </w:r>
          </w:p>
        </w:tc>
      </w:tr>
      <w:tr w:rsidR="00C93A9D" w:rsidRPr="00BC252A" w14:paraId="46B6C5DF" w14:textId="77777777">
        <w:tc>
          <w:tcPr>
            <w:tcW w:w="9540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14:paraId="587CCC4F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手機電話：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e-mail</w:t>
            </w:r>
            <w:r w:rsidRPr="00BC252A"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C93A9D" w:rsidRPr="00BC252A" w14:paraId="46D836F5" w14:textId="77777777">
        <w:tc>
          <w:tcPr>
            <w:tcW w:w="9540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6CD1C750" w14:textId="3470FD51" w:rsidR="00C93A9D" w:rsidRPr="00BC252A" w:rsidRDefault="00D541EC" w:rsidP="005C39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</w:t>
            </w:r>
            <w:r w:rsidR="00C93A9D" w:rsidRPr="00BC252A">
              <w:rPr>
                <w:rFonts w:ascii="標楷體" w:eastAsia="標楷體" w:hAnsi="標楷體" w:hint="eastAsia"/>
                <w:sz w:val="28"/>
              </w:rPr>
              <w:t>級以上裁判年資：</w:t>
            </w:r>
          </w:p>
        </w:tc>
      </w:tr>
      <w:tr w:rsidR="00C93A9D" w:rsidRPr="00BC252A" w14:paraId="6031F185" w14:textId="77777777">
        <w:trPr>
          <w:trHeight w:val="787"/>
        </w:trPr>
        <w:tc>
          <w:tcPr>
            <w:tcW w:w="9540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14:paraId="6FC1283F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93A9D" w:rsidRPr="00BC252A" w14:paraId="0B5E13B8" w14:textId="77777777">
        <w:tc>
          <w:tcPr>
            <w:tcW w:w="9540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770B663C" w14:textId="77777777" w:rsidR="00C93A9D" w:rsidRPr="005C39B1" w:rsidRDefault="005C39B1" w:rsidP="00C93A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足球裁判簡歷：</w:t>
            </w:r>
          </w:p>
        </w:tc>
      </w:tr>
      <w:tr w:rsidR="00C93A9D" w:rsidRPr="00BC252A" w14:paraId="03E2535C" w14:textId="77777777">
        <w:tc>
          <w:tcPr>
            <w:tcW w:w="9540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3274081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C39B1" w:rsidRPr="00BC252A" w14:paraId="703F621B" w14:textId="77777777">
        <w:tc>
          <w:tcPr>
            <w:tcW w:w="9540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CA49045" w14:textId="77777777" w:rsidR="005C39B1" w:rsidRPr="00BC252A" w:rsidRDefault="005C39B1" w:rsidP="00C93A9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C39B1" w:rsidRPr="00BC252A" w14:paraId="03E80A0C" w14:textId="77777777">
        <w:tc>
          <w:tcPr>
            <w:tcW w:w="9540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AA3AB1B" w14:textId="77777777" w:rsidR="005C39B1" w:rsidRPr="00BC252A" w:rsidRDefault="005C39B1" w:rsidP="00C93A9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C39B1" w:rsidRPr="00BC252A" w14:paraId="6C168956" w14:textId="77777777">
        <w:tc>
          <w:tcPr>
            <w:tcW w:w="9540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7D61CA9" w14:textId="77777777" w:rsidR="005C39B1" w:rsidRPr="00BC252A" w:rsidRDefault="005C39B1" w:rsidP="00C93A9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C39B1" w:rsidRPr="00BC252A" w14:paraId="7F9E56BB" w14:textId="77777777">
        <w:tc>
          <w:tcPr>
            <w:tcW w:w="9540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79F9184" w14:textId="77777777" w:rsidR="005C39B1" w:rsidRPr="00BC252A" w:rsidRDefault="005C39B1" w:rsidP="00C93A9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93A9D" w:rsidRPr="00BC252A" w14:paraId="52E921AC" w14:textId="77777777">
        <w:tc>
          <w:tcPr>
            <w:tcW w:w="9540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14:paraId="787245B5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93A9D" w:rsidRPr="00BC252A" w14:paraId="466018E9" w14:textId="77777777">
        <w:tc>
          <w:tcPr>
            <w:tcW w:w="1725" w:type="dxa"/>
            <w:tcBorders>
              <w:left w:val="thinThickThinSmallGap" w:sz="24" w:space="0" w:color="auto"/>
            </w:tcBorders>
          </w:tcPr>
          <w:p w14:paraId="54BD9322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初       審</w:t>
            </w:r>
          </w:p>
        </w:tc>
        <w:tc>
          <w:tcPr>
            <w:tcW w:w="7815" w:type="dxa"/>
            <w:gridSpan w:val="2"/>
            <w:tcBorders>
              <w:right w:val="thinThickThinSmallGap" w:sz="24" w:space="0" w:color="auto"/>
            </w:tcBorders>
          </w:tcPr>
          <w:p w14:paraId="07C25C6B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93A9D" w:rsidRPr="00BC252A" w14:paraId="1B8603A5" w14:textId="77777777">
        <w:tc>
          <w:tcPr>
            <w:tcW w:w="1725" w:type="dxa"/>
            <w:tcBorders>
              <w:left w:val="thinThickThinSmallGap" w:sz="24" w:space="0" w:color="auto"/>
            </w:tcBorders>
          </w:tcPr>
          <w:p w14:paraId="6FA88AA4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複       審</w:t>
            </w:r>
          </w:p>
        </w:tc>
        <w:tc>
          <w:tcPr>
            <w:tcW w:w="7815" w:type="dxa"/>
            <w:gridSpan w:val="2"/>
            <w:tcBorders>
              <w:right w:val="thinThickThinSmallGap" w:sz="24" w:space="0" w:color="auto"/>
            </w:tcBorders>
          </w:tcPr>
          <w:p w14:paraId="2FDBBA47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93A9D" w:rsidRPr="00BC252A" w14:paraId="06D5F966" w14:textId="77777777">
        <w:tc>
          <w:tcPr>
            <w:tcW w:w="1725" w:type="dxa"/>
            <w:tcBorders>
              <w:left w:val="thinThickThinSmallGap" w:sz="24" w:space="0" w:color="auto"/>
              <w:bottom w:val="thinThickSmallGap" w:sz="24" w:space="0" w:color="auto"/>
            </w:tcBorders>
          </w:tcPr>
          <w:p w14:paraId="7F46A036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決       審</w:t>
            </w:r>
          </w:p>
        </w:tc>
        <w:tc>
          <w:tcPr>
            <w:tcW w:w="7815" w:type="dxa"/>
            <w:gridSpan w:val="2"/>
            <w:tcBorders>
              <w:bottom w:val="thinThickSmallGap" w:sz="24" w:space="0" w:color="auto"/>
              <w:right w:val="thinThickThinSmallGap" w:sz="24" w:space="0" w:color="auto"/>
            </w:tcBorders>
          </w:tcPr>
          <w:p w14:paraId="537D3E90" w14:textId="77777777" w:rsidR="00C93A9D" w:rsidRPr="00BC252A" w:rsidRDefault="00C93A9D" w:rsidP="00C93A9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59CD84C9" w14:textId="77777777" w:rsidR="00C93A9D" w:rsidRDefault="00C93A9D"/>
    <w:sectPr w:rsidR="00C93A9D" w:rsidSect="00843FC9">
      <w:pgSz w:w="11906" w:h="16838" w:code="9"/>
      <w:pgMar w:top="851" w:right="1259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D7F57" w14:textId="77777777" w:rsidR="003258A0" w:rsidRDefault="003258A0">
      <w:r>
        <w:separator/>
      </w:r>
    </w:p>
  </w:endnote>
  <w:endnote w:type="continuationSeparator" w:id="0">
    <w:p w14:paraId="3C72A75D" w14:textId="77777777" w:rsidR="003258A0" w:rsidRDefault="0032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04B08" w14:textId="77777777" w:rsidR="003258A0" w:rsidRDefault="003258A0">
      <w:r>
        <w:separator/>
      </w:r>
    </w:p>
  </w:footnote>
  <w:footnote w:type="continuationSeparator" w:id="0">
    <w:p w14:paraId="69A40F69" w14:textId="77777777" w:rsidR="003258A0" w:rsidRDefault="0032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46D77"/>
    <w:multiLevelType w:val="hybridMultilevel"/>
    <w:tmpl w:val="F5684C4C"/>
    <w:lvl w:ilvl="0" w:tplc="0316A6E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7024B0D"/>
    <w:multiLevelType w:val="hybridMultilevel"/>
    <w:tmpl w:val="7D1C2BEC"/>
    <w:lvl w:ilvl="0" w:tplc="05363562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726B50C6"/>
    <w:multiLevelType w:val="hybridMultilevel"/>
    <w:tmpl w:val="E11ECE94"/>
    <w:lvl w:ilvl="0" w:tplc="C45C7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B6DEE5F8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04295102">
    <w:abstractNumId w:val="2"/>
  </w:num>
  <w:num w:numId="2" w16cid:durableId="1561860630">
    <w:abstractNumId w:val="1"/>
  </w:num>
  <w:num w:numId="3" w16cid:durableId="187796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9D"/>
    <w:rsid w:val="00010175"/>
    <w:rsid w:val="0005697F"/>
    <w:rsid w:val="000663D5"/>
    <w:rsid w:val="0009179D"/>
    <w:rsid w:val="000B3B4F"/>
    <w:rsid w:val="000D2E00"/>
    <w:rsid w:val="000E614F"/>
    <w:rsid w:val="000E7748"/>
    <w:rsid w:val="000F0E74"/>
    <w:rsid w:val="00102C2D"/>
    <w:rsid w:val="001034B7"/>
    <w:rsid w:val="00126E32"/>
    <w:rsid w:val="00145CB7"/>
    <w:rsid w:val="0016579A"/>
    <w:rsid w:val="00175D3D"/>
    <w:rsid w:val="001B6D49"/>
    <w:rsid w:val="001C5FEC"/>
    <w:rsid w:val="001D266A"/>
    <w:rsid w:val="001E323B"/>
    <w:rsid w:val="00216B86"/>
    <w:rsid w:val="0024025F"/>
    <w:rsid w:val="00240D3E"/>
    <w:rsid w:val="00284FAD"/>
    <w:rsid w:val="002856D0"/>
    <w:rsid w:val="00290087"/>
    <w:rsid w:val="002A194D"/>
    <w:rsid w:val="002A7F62"/>
    <w:rsid w:val="002B36E7"/>
    <w:rsid w:val="002B3E62"/>
    <w:rsid w:val="002C7C3E"/>
    <w:rsid w:val="002D729A"/>
    <w:rsid w:val="002F6C5F"/>
    <w:rsid w:val="003258A0"/>
    <w:rsid w:val="0033543E"/>
    <w:rsid w:val="003363CE"/>
    <w:rsid w:val="00363691"/>
    <w:rsid w:val="0036671C"/>
    <w:rsid w:val="00381944"/>
    <w:rsid w:val="00391797"/>
    <w:rsid w:val="00393D1A"/>
    <w:rsid w:val="003D0272"/>
    <w:rsid w:val="003D6BA0"/>
    <w:rsid w:val="003E44D2"/>
    <w:rsid w:val="003F2249"/>
    <w:rsid w:val="0041361F"/>
    <w:rsid w:val="0042621A"/>
    <w:rsid w:val="00445389"/>
    <w:rsid w:val="004612BB"/>
    <w:rsid w:val="004624AE"/>
    <w:rsid w:val="00473392"/>
    <w:rsid w:val="004B11D9"/>
    <w:rsid w:val="004B7F61"/>
    <w:rsid w:val="004C2A7B"/>
    <w:rsid w:val="0050538D"/>
    <w:rsid w:val="00522EC1"/>
    <w:rsid w:val="00554016"/>
    <w:rsid w:val="0056197E"/>
    <w:rsid w:val="00582696"/>
    <w:rsid w:val="005A4336"/>
    <w:rsid w:val="005B34B1"/>
    <w:rsid w:val="005B5ABB"/>
    <w:rsid w:val="005C39B1"/>
    <w:rsid w:val="005D0F18"/>
    <w:rsid w:val="00614B71"/>
    <w:rsid w:val="00617584"/>
    <w:rsid w:val="006241EA"/>
    <w:rsid w:val="00637DD3"/>
    <w:rsid w:val="00643041"/>
    <w:rsid w:val="00652512"/>
    <w:rsid w:val="00674CA5"/>
    <w:rsid w:val="00687CFA"/>
    <w:rsid w:val="006A328B"/>
    <w:rsid w:val="006B5A86"/>
    <w:rsid w:val="006C6DA9"/>
    <w:rsid w:val="007248A8"/>
    <w:rsid w:val="00750C15"/>
    <w:rsid w:val="00752577"/>
    <w:rsid w:val="0077361F"/>
    <w:rsid w:val="007736BB"/>
    <w:rsid w:val="00791FCC"/>
    <w:rsid w:val="007A0822"/>
    <w:rsid w:val="007A365B"/>
    <w:rsid w:val="007A4F49"/>
    <w:rsid w:val="007D4BBE"/>
    <w:rsid w:val="007E7843"/>
    <w:rsid w:val="0082520B"/>
    <w:rsid w:val="00843FC9"/>
    <w:rsid w:val="00855F49"/>
    <w:rsid w:val="00860CBF"/>
    <w:rsid w:val="008639CF"/>
    <w:rsid w:val="008672A0"/>
    <w:rsid w:val="0087390C"/>
    <w:rsid w:val="00886717"/>
    <w:rsid w:val="008B53A7"/>
    <w:rsid w:val="008C7BB5"/>
    <w:rsid w:val="008D2639"/>
    <w:rsid w:val="008E2614"/>
    <w:rsid w:val="00910B9A"/>
    <w:rsid w:val="00983E79"/>
    <w:rsid w:val="009874CA"/>
    <w:rsid w:val="009A0BE3"/>
    <w:rsid w:val="009C6DED"/>
    <w:rsid w:val="009D2435"/>
    <w:rsid w:val="009E19F2"/>
    <w:rsid w:val="00A534E7"/>
    <w:rsid w:val="00A565E8"/>
    <w:rsid w:val="00A615A0"/>
    <w:rsid w:val="00A72E40"/>
    <w:rsid w:val="00A74479"/>
    <w:rsid w:val="00AB0D98"/>
    <w:rsid w:val="00AE5CB0"/>
    <w:rsid w:val="00AF083B"/>
    <w:rsid w:val="00B0759F"/>
    <w:rsid w:val="00B60993"/>
    <w:rsid w:val="00B742D0"/>
    <w:rsid w:val="00BA65EC"/>
    <w:rsid w:val="00BA6B2E"/>
    <w:rsid w:val="00BC2388"/>
    <w:rsid w:val="00BD468C"/>
    <w:rsid w:val="00BD77D2"/>
    <w:rsid w:val="00BE2B24"/>
    <w:rsid w:val="00C02AB7"/>
    <w:rsid w:val="00C16A9B"/>
    <w:rsid w:val="00C35029"/>
    <w:rsid w:val="00C735D1"/>
    <w:rsid w:val="00C84D51"/>
    <w:rsid w:val="00C93A9D"/>
    <w:rsid w:val="00C9451D"/>
    <w:rsid w:val="00CA22F9"/>
    <w:rsid w:val="00CF1E4B"/>
    <w:rsid w:val="00D240DB"/>
    <w:rsid w:val="00D541EC"/>
    <w:rsid w:val="00D6086D"/>
    <w:rsid w:val="00D721CC"/>
    <w:rsid w:val="00D76352"/>
    <w:rsid w:val="00D87CA6"/>
    <w:rsid w:val="00DF1992"/>
    <w:rsid w:val="00DF3A27"/>
    <w:rsid w:val="00E0239E"/>
    <w:rsid w:val="00E035A6"/>
    <w:rsid w:val="00E12175"/>
    <w:rsid w:val="00E14A79"/>
    <w:rsid w:val="00E36AAF"/>
    <w:rsid w:val="00E44C50"/>
    <w:rsid w:val="00E54A87"/>
    <w:rsid w:val="00E769FC"/>
    <w:rsid w:val="00E83A92"/>
    <w:rsid w:val="00E878F0"/>
    <w:rsid w:val="00EC1311"/>
    <w:rsid w:val="00EC1DCA"/>
    <w:rsid w:val="00ED2B1D"/>
    <w:rsid w:val="00F00399"/>
    <w:rsid w:val="00F050A6"/>
    <w:rsid w:val="00F14353"/>
    <w:rsid w:val="00F15248"/>
    <w:rsid w:val="00F33186"/>
    <w:rsid w:val="00F5493E"/>
    <w:rsid w:val="00F652D0"/>
    <w:rsid w:val="00F7166B"/>
    <w:rsid w:val="00F8329D"/>
    <w:rsid w:val="00FA3C27"/>
    <w:rsid w:val="00FA5B19"/>
    <w:rsid w:val="00FC11A8"/>
    <w:rsid w:val="00FC689D"/>
    <w:rsid w:val="00FD1A92"/>
    <w:rsid w:val="00FD4970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9F9F72"/>
  <w15:chartTrackingRefBased/>
  <w15:docId w15:val="{4E3C70D8-CF3E-4252-AB9E-3EE75991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A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A9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2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52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E36AAF"/>
    <w:rPr>
      <w:color w:val="0000FF"/>
      <w:u w:val="single"/>
    </w:rPr>
  </w:style>
  <w:style w:type="character" w:customStyle="1" w:styleId="shorttext">
    <w:name w:val="short_text"/>
    <w:basedOn w:val="a0"/>
    <w:rsid w:val="000E7748"/>
  </w:style>
  <w:style w:type="character" w:styleId="a7">
    <w:name w:val="Unresolved Mention"/>
    <w:uiPriority w:val="99"/>
    <w:semiHidden/>
    <w:unhideWhenUsed/>
    <w:rsid w:val="001B6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134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4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255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81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75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21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&#33267;ctfa.refere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224</Words>
  <Characters>1278</Characters>
  <Application>Microsoft Office Word</Application>
  <DocSecurity>0</DocSecurity>
  <Lines>10</Lines>
  <Paragraphs>2</Paragraphs>
  <ScaleCrop>false</ScaleCrop>
  <Company>CMT</Company>
  <LinksUpToDate>false</LinksUpToDate>
  <CharactersWithSpaces>1500</CharactersWithSpaces>
  <SharedDoc>false</SharedDoc>
  <HLinks>
    <vt:vector size="6" baseType="variant">
      <vt:variant>
        <vt:i4>-2122186719</vt:i4>
      </vt:variant>
      <vt:variant>
        <vt:i4>0</vt:i4>
      </vt:variant>
      <vt:variant>
        <vt:i4>0</vt:i4>
      </vt:variant>
      <vt:variant>
        <vt:i4>5</vt:i4>
      </vt:variant>
      <vt:variant>
        <vt:lpwstr>mailto:e-mail至ctfa.referee@gmail.com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中華民國足球協會二○○九年國際裁判、助理裁判考選辦法</dc:title>
  <dc:subject/>
  <dc:creator>c</dc:creator>
  <cp:keywords/>
  <cp:lastModifiedBy>李翊岐</cp:lastModifiedBy>
  <cp:revision>15</cp:revision>
  <cp:lastPrinted>2017-08-23T02:27:00Z</cp:lastPrinted>
  <dcterms:created xsi:type="dcterms:W3CDTF">2024-08-15T02:21:00Z</dcterms:created>
  <dcterms:modified xsi:type="dcterms:W3CDTF">2024-08-28T04:34:00Z</dcterms:modified>
</cp:coreProperties>
</file>